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849" w:rsidRPr="00826BD7" w:rsidRDefault="004A36A6" w:rsidP="004D64C0">
      <w:pPr>
        <w:spacing w:line="26" w:lineRule="atLeast"/>
        <w:jc w:val="right"/>
        <w:rPr>
          <w:szCs w:val="24"/>
        </w:rPr>
      </w:pPr>
      <w:r w:rsidRPr="00826BD7">
        <w:rPr>
          <w:szCs w:val="24"/>
        </w:rPr>
        <w:tab/>
      </w:r>
      <w:r w:rsidRPr="00826BD7">
        <w:rPr>
          <w:szCs w:val="24"/>
        </w:rPr>
        <w:tab/>
      </w:r>
      <w:r w:rsidRPr="00826BD7">
        <w:rPr>
          <w:szCs w:val="24"/>
        </w:rPr>
        <w:tab/>
      </w:r>
      <w:r w:rsidRPr="00826BD7">
        <w:rPr>
          <w:szCs w:val="24"/>
        </w:rPr>
        <w:tab/>
      </w:r>
      <w:r w:rsidRPr="00826BD7">
        <w:rPr>
          <w:szCs w:val="24"/>
        </w:rPr>
        <w:tab/>
      </w:r>
      <w:r w:rsidRPr="00826BD7">
        <w:rPr>
          <w:szCs w:val="24"/>
        </w:rPr>
        <w:tab/>
      </w:r>
      <w:r w:rsidRPr="00826BD7">
        <w:rPr>
          <w:szCs w:val="24"/>
        </w:rPr>
        <w:tab/>
        <w:t>Warszawa,</w:t>
      </w:r>
      <w:r w:rsidR="00F326E4" w:rsidRPr="00826BD7">
        <w:rPr>
          <w:szCs w:val="24"/>
        </w:rPr>
        <w:t xml:space="preserve"> 12 marca</w:t>
      </w:r>
      <w:r w:rsidRPr="00826BD7">
        <w:rPr>
          <w:szCs w:val="24"/>
        </w:rPr>
        <w:t xml:space="preserve"> 201</w:t>
      </w:r>
      <w:r w:rsidR="00C75516" w:rsidRPr="00826BD7">
        <w:rPr>
          <w:szCs w:val="24"/>
        </w:rPr>
        <w:t>3</w:t>
      </w:r>
    </w:p>
    <w:p w:rsidR="00831849" w:rsidRPr="00826BD7" w:rsidRDefault="00831849" w:rsidP="004D64C0">
      <w:pPr>
        <w:spacing w:line="26" w:lineRule="atLeast"/>
        <w:rPr>
          <w:szCs w:val="24"/>
        </w:rPr>
      </w:pPr>
    </w:p>
    <w:p w:rsidR="00831849" w:rsidRPr="00826BD7" w:rsidRDefault="00831849" w:rsidP="004D64C0">
      <w:pPr>
        <w:spacing w:line="26" w:lineRule="atLeast"/>
        <w:rPr>
          <w:szCs w:val="24"/>
        </w:rPr>
      </w:pPr>
    </w:p>
    <w:p w:rsidR="00831849" w:rsidRPr="00826BD7" w:rsidRDefault="004A36A6" w:rsidP="004D64C0">
      <w:pPr>
        <w:spacing w:line="26" w:lineRule="atLeast"/>
        <w:jc w:val="right"/>
        <w:rPr>
          <w:szCs w:val="24"/>
        </w:rPr>
      </w:pPr>
      <w:r w:rsidRPr="00826BD7">
        <w:rPr>
          <w:szCs w:val="24"/>
        </w:rPr>
        <w:t>Informacja Prasowa</w:t>
      </w:r>
    </w:p>
    <w:p w:rsidR="00831849" w:rsidRPr="00826BD7" w:rsidRDefault="00831849" w:rsidP="004D64C0">
      <w:pPr>
        <w:spacing w:line="26" w:lineRule="atLeast"/>
        <w:rPr>
          <w:szCs w:val="24"/>
        </w:rPr>
      </w:pPr>
    </w:p>
    <w:p w:rsidR="00831849" w:rsidRPr="00826BD7" w:rsidRDefault="00831849" w:rsidP="004D64C0">
      <w:pPr>
        <w:spacing w:line="26" w:lineRule="atLeast"/>
        <w:jc w:val="center"/>
        <w:rPr>
          <w:b/>
          <w:sz w:val="28"/>
          <w:szCs w:val="24"/>
        </w:rPr>
      </w:pPr>
    </w:p>
    <w:p w:rsidR="00D5186D" w:rsidRPr="00826BD7" w:rsidRDefault="00D5186D" w:rsidP="004D64C0">
      <w:pPr>
        <w:spacing w:line="26" w:lineRule="atLeast"/>
        <w:rPr>
          <w:b/>
          <w:sz w:val="28"/>
          <w:szCs w:val="24"/>
        </w:rPr>
      </w:pPr>
      <w:r w:rsidRPr="00826BD7">
        <w:rPr>
          <w:b/>
          <w:sz w:val="28"/>
          <w:szCs w:val="24"/>
        </w:rPr>
        <w:t xml:space="preserve">Wyniki </w:t>
      </w:r>
      <w:r w:rsidR="0039500A" w:rsidRPr="00826BD7">
        <w:rPr>
          <w:b/>
          <w:sz w:val="28"/>
          <w:szCs w:val="24"/>
        </w:rPr>
        <w:t>G</w:t>
      </w:r>
      <w:r w:rsidRPr="00826BD7">
        <w:rPr>
          <w:b/>
          <w:sz w:val="28"/>
          <w:szCs w:val="24"/>
        </w:rPr>
        <w:t xml:space="preserve">rupy kapitałowej Getin Holding </w:t>
      </w:r>
      <w:r w:rsidR="00F326E4" w:rsidRPr="00826BD7">
        <w:rPr>
          <w:b/>
          <w:sz w:val="28"/>
          <w:szCs w:val="24"/>
        </w:rPr>
        <w:t>na koniec 2012 roku</w:t>
      </w:r>
    </w:p>
    <w:p w:rsidR="00831849" w:rsidRPr="00826BD7" w:rsidRDefault="00831849" w:rsidP="004D64C0">
      <w:pPr>
        <w:spacing w:line="26" w:lineRule="atLeast"/>
        <w:jc w:val="center"/>
        <w:rPr>
          <w:szCs w:val="24"/>
        </w:rPr>
      </w:pPr>
    </w:p>
    <w:p w:rsidR="00C75516" w:rsidRPr="00826BD7" w:rsidRDefault="00C75516" w:rsidP="004D64C0">
      <w:pPr>
        <w:spacing w:line="26" w:lineRule="atLeast"/>
        <w:jc w:val="both"/>
        <w:rPr>
          <w:b/>
          <w:szCs w:val="24"/>
        </w:rPr>
      </w:pPr>
      <w:r w:rsidRPr="00826BD7">
        <w:rPr>
          <w:b/>
          <w:szCs w:val="24"/>
        </w:rPr>
        <w:t>W 2012 roku Grupa kapitałowa Getin Holding wypracowała zysk netto przypisany akcjonariuszom jednostki dominującej na poziomie</w:t>
      </w:r>
      <w:r w:rsidR="00D813EF" w:rsidRPr="00826BD7">
        <w:rPr>
          <w:b/>
          <w:szCs w:val="24"/>
        </w:rPr>
        <w:t xml:space="preserve"> 602,8 mln PLN, w tym </w:t>
      </w:r>
      <w:r w:rsidR="00716F24" w:rsidRPr="00826BD7">
        <w:rPr>
          <w:b/>
          <w:szCs w:val="24"/>
        </w:rPr>
        <w:t>147,6</w:t>
      </w:r>
      <w:r w:rsidR="00D813EF" w:rsidRPr="00826BD7">
        <w:rPr>
          <w:b/>
          <w:szCs w:val="24"/>
        </w:rPr>
        <w:t xml:space="preserve"> mln PLN stanowi zysk netto z wyłączeniem transakcji sprzedaży TU Europa. Strategia spółki zakłada rozwój zdywersyfikowanej przychodowo i geograficznie grupy kapitałowej, działającej główne na rynku usług bankowych i leasingowych.</w:t>
      </w:r>
    </w:p>
    <w:p w:rsidR="00C75516" w:rsidRPr="00826BD7" w:rsidRDefault="00C75516" w:rsidP="004D64C0">
      <w:pPr>
        <w:spacing w:line="26" w:lineRule="atLeast"/>
        <w:jc w:val="both"/>
        <w:rPr>
          <w:b/>
          <w:szCs w:val="24"/>
        </w:rPr>
      </w:pPr>
    </w:p>
    <w:p w:rsidR="00C75516" w:rsidRPr="00826BD7" w:rsidRDefault="00C75516" w:rsidP="004D64C0">
      <w:pPr>
        <w:spacing w:line="26" w:lineRule="atLeast"/>
        <w:jc w:val="both"/>
        <w:rPr>
          <w:i/>
          <w:szCs w:val="24"/>
        </w:rPr>
      </w:pPr>
      <w:r w:rsidRPr="00826BD7">
        <w:rPr>
          <w:i/>
          <w:szCs w:val="24"/>
        </w:rPr>
        <w:t>„W minionym roku udało nam się zdecydowanie zwiększyć dynamikę rozwoju spółek</w:t>
      </w:r>
      <w:r w:rsidR="00D813EF" w:rsidRPr="00826BD7">
        <w:rPr>
          <w:i/>
          <w:szCs w:val="24"/>
        </w:rPr>
        <w:br/>
      </w:r>
      <w:r w:rsidRPr="00826BD7">
        <w:rPr>
          <w:i/>
          <w:szCs w:val="24"/>
        </w:rPr>
        <w:t xml:space="preserve"> </w:t>
      </w:r>
      <w:r w:rsidR="00716F24" w:rsidRPr="00826BD7">
        <w:rPr>
          <w:i/>
          <w:szCs w:val="24"/>
        </w:rPr>
        <w:t xml:space="preserve">i </w:t>
      </w:r>
      <w:r w:rsidRPr="00826BD7">
        <w:rPr>
          <w:i/>
          <w:szCs w:val="24"/>
        </w:rPr>
        <w:t>umocnić ich pozycję w kluczowych segmentach rynku. Wierzę, że w nadchodzących latach silne fundamenty biznesowe</w:t>
      </w:r>
      <w:r w:rsidR="00196500" w:rsidRPr="00826BD7">
        <w:rPr>
          <w:i/>
          <w:szCs w:val="24"/>
        </w:rPr>
        <w:t xml:space="preserve"> or</w:t>
      </w:r>
      <w:r w:rsidR="00FF4124" w:rsidRPr="00826BD7">
        <w:rPr>
          <w:i/>
          <w:szCs w:val="24"/>
        </w:rPr>
        <w:t>a</w:t>
      </w:r>
      <w:r w:rsidR="00196500" w:rsidRPr="00826BD7">
        <w:rPr>
          <w:i/>
          <w:szCs w:val="24"/>
        </w:rPr>
        <w:t xml:space="preserve">z świetna kadra menedżerska zagwarantują </w:t>
      </w:r>
      <w:r w:rsidRPr="00826BD7">
        <w:rPr>
          <w:i/>
          <w:szCs w:val="24"/>
        </w:rPr>
        <w:t>powtarzalność wyników osiąganych przez pomioty wchodząc</w:t>
      </w:r>
      <w:r w:rsidR="00FF4124" w:rsidRPr="00826BD7">
        <w:rPr>
          <w:i/>
          <w:szCs w:val="24"/>
        </w:rPr>
        <w:t xml:space="preserve">e w skład Grupy. </w:t>
      </w:r>
      <w:r w:rsidR="00442112" w:rsidRPr="00826BD7">
        <w:rPr>
          <w:i/>
          <w:szCs w:val="24"/>
        </w:rPr>
        <w:t>Jest to dobra</w:t>
      </w:r>
      <w:r w:rsidR="00FF4124" w:rsidRPr="00826BD7">
        <w:rPr>
          <w:i/>
          <w:szCs w:val="24"/>
        </w:rPr>
        <w:t xml:space="preserve"> podstawa</w:t>
      </w:r>
      <w:r w:rsidRPr="00826BD7">
        <w:rPr>
          <w:i/>
          <w:szCs w:val="24"/>
        </w:rPr>
        <w:t xml:space="preserve"> dalszej ekspansji Holdingu zarówno</w:t>
      </w:r>
      <w:r w:rsidR="00196500" w:rsidRPr="00826BD7">
        <w:rPr>
          <w:i/>
          <w:szCs w:val="24"/>
        </w:rPr>
        <w:t xml:space="preserve"> </w:t>
      </w:r>
      <w:r w:rsidRPr="00826BD7">
        <w:rPr>
          <w:i/>
          <w:szCs w:val="24"/>
        </w:rPr>
        <w:t xml:space="preserve">w Polsce, jak i poza jej granicami” </w:t>
      </w:r>
      <w:r w:rsidRPr="00826BD7">
        <w:rPr>
          <w:szCs w:val="24"/>
        </w:rPr>
        <w:t>– mówi Rafał Juszczak, Prezes Zarządu Getin Holding.</w:t>
      </w:r>
    </w:p>
    <w:p w:rsidR="00C75516" w:rsidRPr="00826BD7" w:rsidRDefault="00C75516" w:rsidP="004D64C0">
      <w:pPr>
        <w:spacing w:line="26" w:lineRule="atLeast"/>
        <w:jc w:val="both"/>
        <w:rPr>
          <w:i/>
          <w:szCs w:val="24"/>
        </w:rPr>
      </w:pPr>
    </w:p>
    <w:p w:rsidR="004F0D84" w:rsidRPr="00826BD7" w:rsidRDefault="004F0D84" w:rsidP="004D64C0">
      <w:pPr>
        <w:spacing w:line="26" w:lineRule="atLeast"/>
        <w:jc w:val="both"/>
        <w:rPr>
          <w:szCs w:val="24"/>
        </w:rPr>
      </w:pPr>
      <w:r w:rsidRPr="00826BD7">
        <w:rPr>
          <w:szCs w:val="24"/>
        </w:rPr>
        <w:t>Strategicznym celem Holding</w:t>
      </w:r>
      <w:r w:rsidR="00715F62" w:rsidRPr="00826BD7">
        <w:rPr>
          <w:szCs w:val="24"/>
        </w:rPr>
        <w:t>u</w:t>
      </w:r>
      <w:r w:rsidRPr="00826BD7">
        <w:rPr>
          <w:szCs w:val="24"/>
        </w:rPr>
        <w:t xml:space="preserve"> jest budowa silnej grupy Idea Bank, oferującej pełen zakres produktów i usług dla małych i średnich firm, jak również  ich właścicieli. W ciągu dwunastu miesięcy 2012 roku Grupa</w:t>
      </w:r>
      <w:r w:rsidR="00C92820" w:rsidRPr="00826BD7">
        <w:rPr>
          <w:szCs w:val="24"/>
        </w:rPr>
        <w:t xml:space="preserve"> Idea Bank</w:t>
      </w:r>
      <w:r w:rsidRPr="00826BD7">
        <w:rPr>
          <w:szCs w:val="24"/>
        </w:rPr>
        <w:t xml:space="preserve"> odnotowała dwukrotny wzrost wartości aktywów, salda kredytowego netto oraz salda depozytów. Jej skonsolidowany zysk dla akcjonariuszy jednostki dominującej wyniósł 46,9 mln PLN. Idea Bank systematycznie rozwijał sieć sprzedaży, która  na koniec roku liczyła 50 oddziałów. W celu wzmocnienia pozycji Grupy na rynku finansowym Bank dokonał również akwizycji spółki doradztwa księgowo-podatkowego Tax Care oraz spółki leasingowej Idea Leasing.</w:t>
      </w:r>
      <w:r w:rsidR="00447BBA" w:rsidRPr="00826BD7">
        <w:rPr>
          <w:szCs w:val="24"/>
        </w:rPr>
        <w:t xml:space="preserve"> Na koniec 2012 roku</w:t>
      </w:r>
      <w:r w:rsidRPr="00826BD7">
        <w:rPr>
          <w:szCs w:val="24"/>
        </w:rPr>
        <w:t xml:space="preserve"> </w:t>
      </w:r>
      <w:r w:rsidR="00447BBA" w:rsidRPr="00826BD7">
        <w:rPr>
          <w:szCs w:val="24"/>
        </w:rPr>
        <w:t>j</w:t>
      </w:r>
      <w:r w:rsidRPr="00826BD7">
        <w:rPr>
          <w:szCs w:val="24"/>
        </w:rPr>
        <w:t xml:space="preserve">ednostkowy współczynnik wypłacalności Idea Banku wyniósł </w:t>
      </w:r>
      <w:r w:rsidR="00FB5B6B" w:rsidRPr="00826BD7">
        <w:rPr>
          <w:szCs w:val="24"/>
        </w:rPr>
        <w:t>13,2</w:t>
      </w:r>
      <w:r w:rsidR="00F458B9">
        <w:rPr>
          <w:szCs w:val="24"/>
        </w:rPr>
        <w:t>8</w:t>
      </w:r>
      <w:r w:rsidRPr="00826BD7">
        <w:rPr>
          <w:szCs w:val="24"/>
        </w:rPr>
        <w:t xml:space="preserve">%. </w:t>
      </w:r>
    </w:p>
    <w:p w:rsidR="004F0D84" w:rsidRPr="00826BD7" w:rsidRDefault="004F0D84" w:rsidP="004D64C0">
      <w:pPr>
        <w:spacing w:line="26" w:lineRule="atLeast"/>
        <w:jc w:val="both"/>
        <w:rPr>
          <w:szCs w:val="24"/>
        </w:rPr>
      </w:pPr>
    </w:p>
    <w:p w:rsidR="004F0D84" w:rsidRPr="00826BD7" w:rsidRDefault="00CF218A" w:rsidP="004D64C0">
      <w:pPr>
        <w:spacing w:line="26" w:lineRule="atLeast"/>
        <w:jc w:val="both"/>
        <w:rPr>
          <w:szCs w:val="24"/>
        </w:rPr>
      </w:pPr>
      <w:r w:rsidRPr="00826BD7">
        <w:rPr>
          <w:szCs w:val="24"/>
        </w:rPr>
        <w:t>Getin Holding stale umacnia swoją pozycję na rynkach wschodnich. Działająca w Rosji Grupa Carcade utrzymała pozycję wicelidera rynku sprzedaży produktów leasingowych mimo silnej konkurencji ze strony spółek lokalnych. Na koniec 2012 roku Grupa Carcade osiągnęła zysk netto dla akcjonariuszy na poziomie 54,2 mln PLN, co jest wynik</w:t>
      </w:r>
      <w:r w:rsidR="00D33848" w:rsidRPr="00826BD7">
        <w:rPr>
          <w:szCs w:val="24"/>
        </w:rPr>
        <w:t>iem ponad dwukrotnie lepszym w ujęciu rok do roku</w:t>
      </w:r>
      <w:r w:rsidRPr="00826BD7">
        <w:rPr>
          <w:szCs w:val="24"/>
        </w:rPr>
        <w:t xml:space="preserve">. W tym czasie sprzedaż leasingowa wzrosła o 16% do poziomu prawie 1,5 </w:t>
      </w:r>
      <w:r w:rsidR="008E2682" w:rsidRPr="00826BD7">
        <w:rPr>
          <w:szCs w:val="24"/>
        </w:rPr>
        <w:t>mld</w:t>
      </w:r>
      <w:r w:rsidRPr="00826BD7">
        <w:rPr>
          <w:szCs w:val="24"/>
        </w:rPr>
        <w:t xml:space="preserve"> PLN. Wzrostowi towarzyszyła 57,2 % poprawa wyniku z tytułu odsetek (do 144,8 mln PLN).</w:t>
      </w:r>
    </w:p>
    <w:p w:rsidR="00CF218A" w:rsidRPr="00826BD7" w:rsidRDefault="00CF218A" w:rsidP="004D64C0">
      <w:pPr>
        <w:spacing w:line="26" w:lineRule="atLeast"/>
        <w:jc w:val="both"/>
        <w:rPr>
          <w:szCs w:val="24"/>
        </w:rPr>
      </w:pPr>
    </w:p>
    <w:p w:rsidR="00D6479A" w:rsidRPr="00826BD7" w:rsidRDefault="004A36A6" w:rsidP="004D64C0">
      <w:pPr>
        <w:spacing w:line="26" w:lineRule="atLeast"/>
        <w:jc w:val="both"/>
        <w:rPr>
          <w:szCs w:val="24"/>
        </w:rPr>
      </w:pPr>
      <w:r w:rsidRPr="00826BD7">
        <w:rPr>
          <w:szCs w:val="24"/>
        </w:rPr>
        <w:t xml:space="preserve">Należący do Grupy Carcade, Kubanbank </w:t>
      </w:r>
      <w:r w:rsidR="0028264B" w:rsidRPr="00826BD7">
        <w:rPr>
          <w:szCs w:val="24"/>
        </w:rPr>
        <w:t>w lipcu br. osiągnął graniczny punkt rentowności. W 2012 roku spółka po</w:t>
      </w:r>
      <w:r w:rsidR="00D33848" w:rsidRPr="00826BD7">
        <w:rPr>
          <w:szCs w:val="24"/>
        </w:rPr>
        <w:t xml:space="preserve">troiła </w:t>
      </w:r>
      <w:r w:rsidR="0028264B" w:rsidRPr="00826BD7">
        <w:rPr>
          <w:szCs w:val="24"/>
        </w:rPr>
        <w:t>wartość sprzedaży kredytów samochodowych, a wartość portfela kredytowego przekroczyła 1</w:t>
      </w:r>
      <w:r w:rsidR="00521355" w:rsidRPr="00826BD7">
        <w:rPr>
          <w:szCs w:val="24"/>
        </w:rPr>
        <w:t>,4</w:t>
      </w:r>
      <w:r w:rsidR="0028264B" w:rsidRPr="00826BD7">
        <w:rPr>
          <w:szCs w:val="24"/>
        </w:rPr>
        <w:t xml:space="preserve"> mld RUB.</w:t>
      </w:r>
    </w:p>
    <w:p w:rsidR="00D6479A" w:rsidRPr="00826BD7" w:rsidRDefault="00D6479A" w:rsidP="004D64C0">
      <w:pPr>
        <w:spacing w:line="26" w:lineRule="atLeast"/>
        <w:jc w:val="both"/>
        <w:rPr>
          <w:szCs w:val="24"/>
        </w:rPr>
      </w:pPr>
    </w:p>
    <w:p w:rsidR="00563FA4" w:rsidRPr="00826BD7" w:rsidRDefault="00666082" w:rsidP="004D64C0">
      <w:pPr>
        <w:spacing w:line="26" w:lineRule="atLeast"/>
        <w:jc w:val="both"/>
        <w:rPr>
          <w:szCs w:val="24"/>
        </w:rPr>
      </w:pPr>
      <w:r w:rsidRPr="00826BD7">
        <w:rPr>
          <w:szCs w:val="24"/>
        </w:rPr>
        <w:t xml:space="preserve">Rok 2012 był rekordowym dla Białoruskiego Banku, który w marcu tego roku zmienił nazwę na Idea Bank (wcześniej Sombelbank). Spółka pomimo niekorzystnego otoczenia hiperinflacyjnego wypracowała zysk netto w wysokości 34,2 mln PLN osiągając tym samym </w:t>
      </w:r>
      <w:r w:rsidRPr="00826BD7">
        <w:rPr>
          <w:szCs w:val="24"/>
        </w:rPr>
        <w:lastRenderedPageBreak/>
        <w:t xml:space="preserve">51,6% zwrot na kapitale (ROE). </w:t>
      </w:r>
      <w:r w:rsidR="000C60C6" w:rsidRPr="00826BD7">
        <w:rPr>
          <w:szCs w:val="24"/>
        </w:rPr>
        <w:t xml:space="preserve">Bank odnotował </w:t>
      </w:r>
      <w:r w:rsidR="00867B66" w:rsidRPr="00826BD7">
        <w:rPr>
          <w:szCs w:val="24"/>
        </w:rPr>
        <w:t xml:space="preserve">w ujęciu rok do roku </w:t>
      </w:r>
      <w:r w:rsidR="000C60C6" w:rsidRPr="00826BD7">
        <w:rPr>
          <w:szCs w:val="24"/>
        </w:rPr>
        <w:t xml:space="preserve">ponad </w:t>
      </w:r>
      <w:r w:rsidR="00867B66" w:rsidRPr="00826BD7">
        <w:rPr>
          <w:szCs w:val="24"/>
        </w:rPr>
        <w:t>79,2%</w:t>
      </w:r>
      <w:r w:rsidR="000C60C6" w:rsidRPr="00826BD7">
        <w:rPr>
          <w:szCs w:val="24"/>
        </w:rPr>
        <w:t xml:space="preserve"> wzrost wyniku prowizyjnego (do 1</w:t>
      </w:r>
      <w:r w:rsidR="00867B66" w:rsidRPr="00826BD7">
        <w:rPr>
          <w:szCs w:val="24"/>
        </w:rPr>
        <w:t>7</w:t>
      </w:r>
      <w:r w:rsidR="000C60C6" w:rsidRPr="00826BD7">
        <w:rPr>
          <w:szCs w:val="24"/>
        </w:rPr>
        <w:t>,</w:t>
      </w:r>
      <w:r w:rsidR="00867B66" w:rsidRPr="00826BD7">
        <w:rPr>
          <w:szCs w:val="24"/>
        </w:rPr>
        <w:t>2</w:t>
      </w:r>
      <w:r w:rsidR="000C60C6" w:rsidRPr="00826BD7">
        <w:rPr>
          <w:szCs w:val="24"/>
        </w:rPr>
        <w:t xml:space="preserve"> mln PLN), a wynik z tytułu odsetek osiągnął poziom </w:t>
      </w:r>
      <w:r w:rsidR="00867B66" w:rsidRPr="00826BD7">
        <w:rPr>
          <w:szCs w:val="24"/>
        </w:rPr>
        <w:t>91,0</w:t>
      </w:r>
      <w:r w:rsidR="000C60C6" w:rsidRPr="00826BD7">
        <w:rPr>
          <w:szCs w:val="24"/>
        </w:rPr>
        <w:t xml:space="preserve"> mln PLN (+</w:t>
      </w:r>
      <w:r w:rsidR="00867B66" w:rsidRPr="00826BD7">
        <w:rPr>
          <w:szCs w:val="24"/>
        </w:rPr>
        <w:t>37,0%</w:t>
      </w:r>
      <w:r w:rsidR="000C60C6" w:rsidRPr="00826BD7">
        <w:rPr>
          <w:szCs w:val="24"/>
        </w:rPr>
        <w:t xml:space="preserve"> r/r). </w:t>
      </w:r>
      <w:r w:rsidR="00563FA4" w:rsidRPr="00826BD7">
        <w:rPr>
          <w:szCs w:val="24"/>
        </w:rPr>
        <w:t xml:space="preserve">Bank należący do Getin Holding umocnił swoją pozycję na białoruskim rynku bankowym zajmując 3 pozycję pod względem wielkości portfela kredytów detalicznych oraz pod względem zwrotu na aktywach (ROA 5,3%). </w:t>
      </w:r>
    </w:p>
    <w:p w:rsidR="00563FA4" w:rsidRPr="00826BD7" w:rsidRDefault="00563FA4" w:rsidP="004D64C0">
      <w:pPr>
        <w:spacing w:line="26" w:lineRule="atLeast"/>
        <w:jc w:val="both"/>
        <w:rPr>
          <w:szCs w:val="24"/>
        </w:rPr>
      </w:pPr>
    </w:p>
    <w:p w:rsidR="00A04AFF" w:rsidRPr="00826BD7" w:rsidRDefault="00746875" w:rsidP="004D64C0">
      <w:pPr>
        <w:spacing w:line="26" w:lineRule="atLeast"/>
        <w:jc w:val="both"/>
        <w:rPr>
          <w:szCs w:val="24"/>
        </w:rPr>
      </w:pPr>
      <w:r w:rsidRPr="00826BD7">
        <w:rPr>
          <w:szCs w:val="24"/>
        </w:rPr>
        <w:t>Trud</w:t>
      </w:r>
      <w:r w:rsidR="00E918D0" w:rsidRPr="00826BD7">
        <w:rPr>
          <w:szCs w:val="24"/>
        </w:rPr>
        <w:t>nym warunkom makroekonomicznym</w:t>
      </w:r>
      <w:r w:rsidRPr="00826BD7">
        <w:rPr>
          <w:szCs w:val="24"/>
        </w:rPr>
        <w:t xml:space="preserve"> na Ukrainie</w:t>
      </w:r>
      <w:r w:rsidR="00E918D0" w:rsidRPr="00826BD7">
        <w:rPr>
          <w:szCs w:val="24"/>
        </w:rPr>
        <w:t xml:space="preserve"> sprostała</w:t>
      </w:r>
      <w:r w:rsidRPr="00826BD7">
        <w:rPr>
          <w:szCs w:val="24"/>
        </w:rPr>
        <w:t xml:space="preserve"> Grupa Idea Bank.</w:t>
      </w:r>
      <w:r w:rsidR="00874F86" w:rsidRPr="00826BD7">
        <w:rPr>
          <w:szCs w:val="24"/>
        </w:rPr>
        <w:t xml:space="preserve"> Na koniec 2012 roku jej zysk netto wyniósł 34,5 </w:t>
      </w:r>
      <w:r w:rsidR="00C35D59" w:rsidRPr="00826BD7">
        <w:rPr>
          <w:szCs w:val="24"/>
        </w:rPr>
        <w:t xml:space="preserve">mln PLN </w:t>
      </w:r>
      <w:r w:rsidR="00A04AFF" w:rsidRPr="00826BD7">
        <w:rPr>
          <w:szCs w:val="24"/>
        </w:rPr>
        <w:t xml:space="preserve">co jest wynikiem o </w:t>
      </w:r>
      <w:r w:rsidR="00C35D59" w:rsidRPr="00826BD7">
        <w:rPr>
          <w:szCs w:val="24"/>
        </w:rPr>
        <w:t xml:space="preserve">ponad 11,7% </w:t>
      </w:r>
      <w:r w:rsidR="00CD3543" w:rsidRPr="00826BD7">
        <w:rPr>
          <w:szCs w:val="24"/>
        </w:rPr>
        <w:t xml:space="preserve">wyższym niż w 2011 </w:t>
      </w:r>
      <w:r w:rsidR="00C35D59" w:rsidRPr="00826BD7">
        <w:rPr>
          <w:szCs w:val="24"/>
        </w:rPr>
        <w:t>roku.</w:t>
      </w:r>
      <w:r w:rsidR="00A04AFF" w:rsidRPr="00826BD7">
        <w:rPr>
          <w:szCs w:val="24"/>
        </w:rPr>
        <w:t xml:space="preserve"> Sprzedaż kredytowa ukraińskiego Banku wzrosła w relacji do 2011 roku </w:t>
      </w:r>
      <w:r w:rsidR="001604B0" w:rsidRPr="00826BD7">
        <w:rPr>
          <w:szCs w:val="24"/>
        </w:rPr>
        <w:br/>
      </w:r>
      <w:r w:rsidR="00A04AFF" w:rsidRPr="00826BD7">
        <w:rPr>
          <w:szCs w:val="24"/>
        </w:rPr>
        <w:t xml:space="preserve">o 27,3%, osiągając poziom 486,1 mln PLN. </w:t>
      </w:r>
      <w:r w:rsidRPr="00826BD7">
        <w:rPr>
          <w:szCs w:val="24"/>
        </w:rPr>
        <w:t xml:space="preserve">W minionych miesiącach celem strategicznym </w:t>
      </w:r>
      <w:r w:rsidR="00A04AFF" w:rsidRPr="00826BD7">
        <w:rPr>
          <w:szCs w:val="24"/>
        </w:rPr>
        <w:t>Idea Bank Ukraina</w:t>
      </w:r>
      <w:r w:rsidR="00106139" w:rsidRPr="00826BD7">
        <w:rPr>
          <w:szCs w:val="24"/>
        </w:rPr>
        <w:t xml:space="preserve"> była </w:t>
      </w:r>
      <w:r w:rsidRPr="00826BD7">
        <w:rPr>
          <w:szCs w:val="24"/>
        </w:rPr>
        <w:t xml:space="preserve">rozbudowa kanałów dystrybucji. </w:t>
      </w:r>
      <w:r w:rsidR="00A04AFF" w:rsidRPr="00826BD7">
        <w:rPr>
          <w:szCs w:val="24"/>
        </w:rPr>
        <w:t xml:space="preserve">Bank powiększył dotychczasową sieć oddziałów o 32 nowe placówki oraz uruchomił nowoczesny system bankowości internetowej. </w:t>
      </w:r>
      <w:r w:rsidR="00246D94" w:rsidRPr="00826BD7">
        <w:rPr>
          <w:szCs w:val="24"/>
        </w:rPr>
        <w:t>W prestiżowym konkursie „</w:t>
      </w:r>
      <w:proofErr w:type="spellStart"/>
      <w:r w:rsidR="00246D94" w:rsidRPr="00826BD7">
        <w:rPr>
          <w:szCs w:val="24"/>
        </w:rPr>
        <w:t>Ukrainian</w:t>
      </w:r>
      <w:proofErr w:type="spellEnd"/>
      <w:r w:rsidR="00246D94" w:rsidRPr="00826BD7">
        <w:rPr>
          <w:szCs w:val="24"/>
        </w:rPr>
        <w:t xml:space="preserve"> </w:t>
      </w:r>
      <w:proofErr w:type="spellStart"/>
      <w:r w:rsidR="00246D94" w:rsidRPr="00826BD7">
        <w:rPr>
          <w:szCs w:val="24"/>
        </w:rPr>
        <w:t>Banker</w:t>
      </w:r>
      <w:proofErr w:type="spellEnd"/>
      <w:r w:rsidR="00246D94" w:rsidRPr="00826BD7">
        <w:rPr>
          <w:szCs w:val="24"/>
        </w:rPr>
        <w:t xml:space="preserve"> </w:t>
      </w:r>
      <w:proofErr w:type="spellStart"/>
      <w:r w:rsidR="00246D94" w:rsidRPr="00826BD7">
        <w:rPr>
          <w:szCs w:val="24"/>
        </w:rPr>
        <w:t>Awards</w:t>
      </w:r>
      <w:proofErr w:type="spellEnd"/>
      <w:r w:rsidR="00246D94" w:rsidRPr="00826BD7">
        <w:rPr>
          <w:szCs w:val="24"/>
        </w:rPr>
        <w:t xml:space="preserve"> 2012” Bank zajął pierwsze miejsce</w:t>
      </w:r>
      <w:r w:rsidR="00977221" w:rsidRPr="00826BD7">
        <w:rPr>
          <w:szCs w:val="24"/>
        </w:rPr>
        <w:t xml:space="preserve"> </w:t>
      </w:r>
      <w:r w:rsidR="00246D94" w:rsidRPr="00826BD7">
        <w:rPr>
          <w:szCs w:val="24"/>
        </w:rPr>
        <w:t xml:space="preserve">w kategorii „Kredyty samochodowe” oraz trzecie w kategorii „Najlepszy bank detaliczny”. </w:t>
      </w:r>
    </w:p>
    <w:p w:rsidR="00A04AFF" w:rsidRPr="00826BD7" w:rsidRDefault="00A04AFF" w:rsidP="004D64C0">
      <w:pPr>
        <w:spacing w:line="26" w:lineRule="atLeast"/>
        <w:jc w:val="both"/>
        <w:rPr>
          <w:szCs w:val="24"/>
        </w:rPr>
      </w:pPr>
    </w:p>
    <w:p w:rsidR="004A36A6" w:rsidRPr="00826BD7" w:rsidRDefault="004A36A6" w:rsidP="004D64C0">
      <w:pPr>
        <w:spacing w:line="26" w:lineRule="atLeast"/>
        <w:jc w:val="both"/>
        <w:rPr>
          <w:szCs w:val="24"/>
        </w:rPr>
      </w:pPr>
      <w:r w:rsidRPr="00826BD7">
        <w:rPr>
          <w:szCs w:val="24"/>
        </w:rPr>
        <w:t xml:space="preserve">Zapraszamy na wideokonferencję, na której Prezes Getin Holding, Rafał Juszczak, przedstawi wyniki Grupy Kapitałowej </w:t>
      </w:r>
      <w:r w:rsidR="00016825" w:rsidRPr="00826BD7">
        <w:rPr>
          <w:szCs w:val="24"/>
        </w:rPr>
        <w:t xml:space="preserve">na koniec </w:t>
      </w:r>
      <w:r w:rsidRPr="00826BD7">
        <w:rPr>
          <w:szCs w:val="24"/>
        </w:rPr>
        <w:t>2012 roku</w:t>
      </w:r>
      <w:r w:rsidR="00D13EC2" w:rsidRPr="00826BD7">
        <w:rPr>
          <w:szCs w:val="24"/>
        </w:rPr>
        <w:t>.</w:t>
      </w:r>
    </w:p>
    <w:p w:rsidR="00272F26" w:rsidRPr="00826BD7" w:rsidRDefault="00272F26" w:rsidP="004D64C0">
      <w:pPr>
        <w:spacing w:line="26" w:lineRule="atLeast"/>
        <w:rPr>
          <w:b/>
          <w:szCs w:val="24"/>
          <w:u w:val="single"/>
        </w:rPr>
      </w:pPr>
    </w:p>
    <w:p w:rsidR="00A6378C" w:rsidRPr="00826BD7" w:rsidRDefault="00D813EF" w:rsidP="004D64C0">
      <w:pPr>
        <w:spacing w:line="26" w:lineRule="atLeast"/>
        <w:rPr>
          <w:b/>
          <w:szCs w:val="24"/>
          <w:u w:val="single"/>
        </w:rPr>
      </w:pPr>
      <w:r w:rsidRPr="00826BD7">
        <w:rPr>
          <w:b/>
          <w:szCs w:val="24"/>
          <w:u w:val="single"/>
        </w:rPr>
        <w:t>LINK do aktualności</w:t>
      </w:r>
      <w:r w:rsidR="00B1742A" w:rsidRPr="00826BD7">
        <w:rPr>
          <w:b/>
          <w:szCs w:val="24"/>
          <w:u w:val="single"/>
        </w:rPr>
        <w:t xml:space="preserve"> </w:t>
      </w:r>
      <w:r w:rsidR="00A6378C" w:rsidRPr="00826BD7">
        <w:rPr>
          <w:b/>
          <w:szCs w:val="24"/>
          <w:u w:val="single"/>
        </w:rPr>
        <w:br/>
      </w:r>
    </w:p>
    <w:p w:rsidR="005D44CB" w:rsidRPr="00826BD7" w:rsidRDefault="005D44CB" w:rsidP="004D64C0">
      <w:pPr>
        <w:spacing w:line="26" w:lineRule="atLeast"/>
        <w:rPr>
          <w:szCs w:val="24"/>
        </w:rPr>
      </w:pPr>
    </w:p>
    <w:sectPr w:rsidR="005D44CB" w:rsidRPr="00826BD7" w:rsidSect="007927FF">
      <w:headerReference w:type="default" r:id="rId7"/>
      <w:footerReference w:type="default" r:id="rId8"/>
      <w:pgSz w:w="11906" w:h="16838"/>
      <w:pgMar w:top="1417" w:right="1417" w:bottom="1417"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F21" w:rsidRDefault="00C00F21" w:rsidP="0056615F">
      <w:r>
        <w:separator/>
      </w:r>
    </w:p>
  </w:endnote>
  <w:endnote w:type="continuationSeparator" w:id="0">
    <w:p w:rsidR="00C00F21" w:rsidRDefault="00C00F21" w:rsidP="005661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712" w:rsidRDefault="00307712">
    <w:pPr>
      <w:pStyle w:val="Stopka"/>
    </w:pPr>
    <w:r>
      <w:t xml:space="preserve">Kontakt: Wojciech Sury, Rzecznik Prasowy Getin Holding S.A., tel.: </w:t>
    </w:r>
    <w:r w:rsidRPr="007343E9">
      <w:t>669 707 394</w:t>
    </w:r>
    <w:r>
      <w:rPr>
        <w:rFonts w:ascii="Calibri" w:hAnsi="Calibri" w:cs="Calibri"/>
        <w:color w:val="000000"/>
        <w:sz w:val="22"/>
        <w:szCs w:val="22"/>
      </w:rPr>
      <w:t xml:space="preserve"> </w:t>
    </w:r>
    <w:r>
      <w:t>w.sury@getin.pl</w:t>
    </w:r>
  </w:p>
  <w:p w:rsidR="00307712" w:rsidRDefault="0030771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F21" w:rsidRDefault="00C00F21" w:rsidP="0056615F">
      <w:r>
        <w:separator/>
      </w:r>
    </w:p>
  </w:footnote>
  <w:footnote w:type="continuationSeparator" w:id="0">
    <w:p w:rsidR="00C00F21" w:rsidRDefault="00C00F21" w:rsidP="005661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307712" w:rsidRPr="0056615F" w:rsidTr="00307712">
      <w:tc>
        <w:tcPr>
          <w:tcW w:w="4606" w:type="dxa"/>
        </w:tcPr>
        <w:p w:rsidR="00307712" w:rsidRPr="0056615F" w:rsidRDefault="00307712" w:rsidP="00307712">
          <w:pPr>
            <w:rPr>
              <w:rFonts w:ascii="Arial" w:hAnsi="Arial" w:cs="Arial"/>
              <w:sz w:val="16"/>
              <w:szCs w:val="16"/>
              <w:lang w:eastAsia="pl-PL"/>
            </w:rPr>
          </w:pPr>
          <w:r w:rsidRPr="0056615F">
            <w:rPr>
              <w:rFonts w:ascii="Arial" w:hAnsi="Arial" w:cs="Arial"/>
              <w:sz w:val="16"/>
              <w:szCs w:val="16"/>
              <w:lang w:eastAsia="pl-PL"/>
            </w:rPr>
            <w:t>Getin Holding S.A.</w:t>
          </w:r>
        </w:p>
        <w:p w:rsidR="00307712" w:rsidRPr="0056615F" w:rsidRDefault="00307712" w:rsidP="00307712">
          <w:pPr>
            <w:tabs>
              <w:tab w:val="center" w:pos="4680"/>
            </w:tabs>
            <w:rPr>
              <w:rFonts w:ascii="Arial" w:hAnsi="Arial" w:cs="Arial"/>
              <w:sz w:val="16"/>
              <w:szCs w:val="16"/>
              <w:lang w:eastAsia="pl-PL"/>
            </w:rPr>
          </w:pPr>
          <w:r w:rsidRPr="0056615F">
            <w:rPr>
              <w:rFonts w:ascii="Arial" w:hAnsi="Arial" w:cs="Arial"/>
              <w:sz w:val="16"/>
              <w:szCs w:val="16"/>
              <w:lang w:eastAsia="pl-PL"/>
            </w:rPr>
            <w:t>ul. Powstańców Śląskich 2-4, 53-337 Wrocław</w:t>
          </w:r>
          <w:r w:rsidRPr="0056615F">
            <w:rPr>
              <w:rFonts w:ascii="Arial" w:hAnsi="Arial" w:cs="Arial"/>
              <w:sz w:val="16"/>
              <w:szCs w:val="16"/>
              <w:lang w:eastAsia="pl-PL"/>
            </w:rPr>
            <w:tab/>
          </w:r>
        </w:p>
        <w:p w:rsidR="00307712" w:rsidRPr="0056615F" w:rsidRDefault="00307712" w:rsidP="00307712">
          <w:pPr>
            <w:rPr>
              <w:rFonts w:ascii="Arial" w:hAnsi="Arial" w:cs="Arial"/>
              <w:sz w:val="16"/>
              <w:szCs w:val="16"/>
              <w:lang w:eastAsia="pl-PL"/>
            </w:rPr>
          </w:pPr>
          <w:r w:rsidRPr="0056615F">
            <w:rPr>
              <w:rFonts w:ascii="Arial" w:hAnsi="Arial" w:cs="Arial"/>
              <w:sz w:val="16"/>
              <w:szCs w:val="16"/>
              <w:lang w:eastAsia="pl-PL"/>
            </w:rPr>
            <w:t>tel. +48 71 797 77 77, fax +48 71 797 77 16 </w:t>
          </w:r>
        </w:p>
        <w:p w:rsidR="00307712" w:rsidRPr="0056615F" w:rsidRDefault="00307712" w:rsidP="00307712">
          <w:pPr>
            <w:rPr>
              <w:rFonts w:ascii="Arial" w:hAnsi="Arial" w:cs="Arial"/>
              <w:iCs/>
              <w:sz w:val="16"/>
              <w:szCs w:val="16"/>
              <w:lang w:eastAsia="pl-PL"/>
            </w:rPr>
          </w:pPr>
          <w:r w:rsidRPr="0056615F">
            <w:rPr>
              <w:rFonts w:ascii="Arial" w:hAnsi="Arial" w:cs="Arial"/>
              <w:iCs/>
              <w:sz w:val="16"/>
              <w:szCs w:val="16"/>
              <w:lang w:eastAsia="pl-PL"/>
            </w:rPr>
            <w:t xml:space="preserve">Sąd Rejonowy we Wrocławiu VI Wydział Gospodarczy KRS, </w:t>
          </w:r>
        </w:p>
        <w:p w:rsidR="00307712" w:rsidRPr="007927FF" w:rsidRDefault="00307712" w:rsidP="007927FF">
          <w:pPr>
            <w:rPr>
              <w:rFonts w:ascii="Arial" w:hAnsi="Arial" w:cs="Arial"/>
              <w:iCs/>
              <w:sz w:val="16"/>
              <w:szCs w:val="16"/>
              <w:lang w:val="en-US" w:eastAsia="pl-PL"/>
            </w:rPr>
          </w:pPr>
          <w:r w:rsidRPr="0056615F">
            <w:rPr>
              <w:rFonts w:ascii="Arial" w:hAnsi="Arial" w:cs="Arial"/>
              <w:iCs/>
              <w:sz w:val="16"/>
              <w:szCs w:val="16"/>
              <w:lang w:val="en-US" w:eastAsia="pl-PL"/>
            </w:rPr>
            <w:t>KRS 0000004335</w:t>
          </w:r>
          <w:r>
            <w:rPr>
              <w:rFonts w:ascii="Arial" w:hAnsi="Arial" w:cs="Arial"/>
              <w:iCs/>
              <w:sz w:val="16"/>
              <w:szCs w:val="16"/>
              <w:lang w:val="en-US" w:eastAsia="pl-PL"/>
            </w:rPr>
            <w:t>,</w:t>
          </w:r>
          <w:r w:rsidRPr="007927FF">
            <w:rPr>
              <w:rFonts w:ascii="Arial" w:hAnsi="Arial" w:cs="Arial"/>
              <w:iCs/>
              <w:sz w:val="16"/>
              <w:szCs w:val="16"/>
              <w:lang w:val="en-US" w:eastAsia="pl-PL"/>
            </w:rPr>
            <w:t xml:space="preserve"> NIP 895-16-94-236</w:t>
          </w:r>
        </w:p>
        <w:p w:rsidR="00307712" w:rsidRPr="0056615F" w:rsidRDefault="00307712" w:rsidP="00307712">
          <w:pPr>
            <w:rPr>
              <w:rFonts w:ascii="Arial" w:hAnsi="Arial" w:cs="Arial"/>
              <w:sz w:val="16"/>
              <w:szCs w:val="16"/>
              <w:lang w:val="en-US" w:eastAsia="pl-PL"/>
            </w:rPr>
          </w:pPr>
          <w:r w:rsidRPr="0056615F">
            <w:rPr>
              <w:rFonts w:ascii="Arial" w:hAnsi="Arial" w:cs="Arial"/>
              <w:iCs/>
              <w:sz w:val="16"/>
              <w:szCs w:val="16"/>
              <w:lang w:val="en-US" w:eastAsia="pl-PL"/>
            </w:rPr>
            <w:t>Getin Noble Bank S.A. 07 1560 1108 0000 9060 0038 6802</w:t>
          </w:r>
        </w:p>
        <w:p w:rsidR="00307712" w:rsidRPr="0056615F" w:rsidRDefault="005961E5" w:rsidP="00307712">
          <w:pPr>
            <w:autoSpaceDE w:val="0"/>
            <w:autoSpaceDN w:val="0"/>
            <w:adjustRightInd w:val="0"/>
            <w:rPr>
              <w:rFonts w:ascii="Arial" w:hAnsi="Arial" w:cs="Arial"/>
              <w:sz w:val="16"/>
              <w:szCs w:val="16"/>
              <w:lang w:eastAsia="pl-PL"/>
            </w:rPr>
          </w:pPr>
          <w:hyperlink r:id="rId1" w:history="1">
            <w:r w:rsidR="00307712" w:rsidRPr="0056615F">
              <w:rPr>
                <w:rStyle w:val="Hipercze"/>
                <w:rFonts w:ascii="Arial" w:hAnsi="Arial" w:cs="Arial"/>
                <w:sz w:val="16"/>
                <w:szCs w:val="16"/>
                <w:lang w:eastAsia="pl-PL"/>
              </w:rPr>
              <w:t>www.getinholding.pl</w:t>
            </w:r>
          </w:hyperlink>
        </w:p>
        <w:p w:rsidR="00307712" w:rsidRPr="0056615F" w:rsidRDefault="00307712" w:rsidP="00307712">
          <w:pPr>
            <w:rPr>
              <w:rFonts w:ascii="Arial" w:hAnsi="Arial" w:cs="Arial"/>
              <w:sz w:val="16"/>
              <w:szCs w:val="16"/>
            </w:rPr>
          </w:pPr>
        </w:p>
      </w:tc>
      <w:tc>
        <w:tcPr>
          <w:tcW w:w="4606" w:type="dxa"/>
        </w:tcPr>
        <w:p w:rsidR="00307712" w:rsidRPr="0056615F" w:rsidRDefault="00307712" w:rsidP="00307712">
          <w:pPr>
            <w:jc w:val="right"/>
            <w:rPr>
              <w:rFonts w:ascii="Arial" w:hAnsi="Arial" w:cs="Arial"/>
              <w:sz w:val="16"/>
              <w:szCs w:val="16"/>
            </w:rPr>
          </w:pPr>
          <w:r w:rsidRPr="0056615F">
            <w:rPr>
              <w:rFonts w:ascii="Arial" w:hAnsi="Arial" w:cs="Arial"/>
              <w:noProof/>
              <w:sz w:val="16"/>
              <w:szCs w:val="16"/>
              <w:lang w:eastAsia="pl-PL"/>
            </w:rPr>
            <w:drawing>
              <wp:inline distT="0" distB="0" distL="0" distR="0">
                <wp:extent cx="1853514" cy="857250"/>
                <wp:effectExtent l="0" t="0" r="0" b="0"/>
                <wp:docPr id="1" name="Obraz 1" descr="D:\Users\mbninska\AppData\Local\Microsoft\Windows\Temporary Internet Files\Content.Outlook\MKPGDX0W\_hold_zn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bninska\AppData\Local\Microsoft\Windows\Temporary Internet Files\Content.Outlook\MKPGDX0W\_hold_znak.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53514" cy="857250"/>
                        </a:xfrm>
                        <a:prstGeom prst="rect">
                          <a:avLst/>
                        </a:prstGeom>
                        <a:noFill/>
                        <a:ln>
                          <a:noFill/>
                        </a:ln>
                      </pic:spPr>
                    </pic:pic>
                  </a:graphicData>
                </a:graphic>
              </wp:inline>
            </w:drawing>
          </w:r>
        </w:p>
      </w:tc>
    </w:tr>
  </w:tbl>
  <w:p w:rsidR="00307712" w:rsidRDefault="00307712">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6615F"/>
    <w:rsid w:val="0000058A"/>
    <w:rsid w:val="0000199E"/>
    <w:rsid w:val="000052C8"/>
    <w:rsid w:val="00011AC8"/>
    <w:rsid w:val="00016825"/>
    <w:rsid w:val="0002167F"/>
    <w:rsid w:val="00024FF2"/>
    <w:rsid w:val="00066622"/>
    <w:rsid w:val="0007153F"/>
    <w:rsid w:val="000A140C"/>
    <w:rsid w:val="000A1837"/>
    <w:rsid w:val="000B0531"/>
    <w:rsid w:val="000B4417"/>
    <w:rsid w:val="000C60C6"/>
    <w:rsid w:val="000C7C47"/>
    <w:rsid w:val="000D6129"/>
    <w:rsid w:val="000D6927"/>
    <w:rsid w:val="000E5C4E"/>
    <w:rsid w:val="000F2DDC"/>
    <w:rsid w:val="000F3419"/>
    <w:rsid w:val="00102C83"/>
    <w:rsid w:val="00106139"/>
    <w:rsid w:val="00111228"/>
    <w:rsid w:val="0013265A"/>
    <w:rsid w:val="00136061"/>
    <w:rsid w:val="00144A40"/>
    <w:rsid w:val="001604B0"/>
    <w:rsid w:val="00166696"/>
    <w:rsid w:val="00176B34"/>
    <w:rsid w:val="00177F74"/>
    <w:rsid w:val="00185186"/>
    <w:rsid w:val="00196500"/>
    <w:rsid w:val="001A3FD4"/>
    <w:rsid w:val="001B6EB8"/>
    <w:rsid w:val="001C0E0E"/>
    <w:rsid w:val="001D15D8"/>
    <w:rsid w:val="001E4DDF"/>
    <w:rsid w:val="001F0528"/>
    <w:rsid w:val="00207E05"/>
    <w:rsid w:val="00214C2A"/>
    <w:rsid w:val="00224CFE"/>
    <w:rsid w:val="00234EAB"/>
    <w:rsid w:val="0023554A"/>
    <w:rsid w:val="002405AC"/>
    <w:rsid w:val="00246D94"/>
    <w:rsid w:val="00252C49"/>
    <w:rsid w:val="00272F26"/>
    <w:rsid w:val="0028264B"/>
    <w:rsid w:val="00285AAD"/>
    <w:rsid w:val="0029680D"/>
    <w:rsid w:val="002A16E8"/>
    <w:rsid w:val="002A46AC"/>
    <w:rsid w:val="002C2889"/>
    <w:rsid w:val="002C4418"/>
    <w:rsid w:val="002D467B"/>
    <w:rsid w:val="002D6F6D"/>
    <w:rsid w:val="002E2F3D"/>
    <w:rsid w:val="002E5F3D"/>
    <w:rsid w:val="002F5B12"/>
    <w:rsid w:val="002F74C0"/>
    <w:rsid w:val="003071D3"/>
    <w:rsid w:val="00307712"/>
    <w:rsid w:val="00314496"/>
    <w:rsid w:val="003273CD"/>
    <w:rsid w:val="00331252"/>
    <w:rsid w:val="00345F59"/>
    <w:rsid w:val="0035116F"/>
    <w:rsid w:val="003526A7"/>
    <w:rsid w:val="003576F8"/>
    <w:rsid w:val="0036208F"/>
    <w:rsid w:val="00364C0A"/>
    <w:rsid w:val="00367946"/>
    <w:rsid w:val="00373004"/>
    <w:rsid w:val="00377182"/>
    <w:rsid w:val="003853F3"/>
    <w:rsid w:val="00385A2E"/>
    <w:rsid w:val="0039500A"/>
    <w:rsid w:val="003B2D5C"/>
    <w:rsid w:val="003C0341"/>
    <w:rsid w:val="003C5F9D"/>
    <w:rsid w:val="003D46A8"/>
    <w:rsid w:val="003E56AE"/>
    <w:rsid w:val="003E7053"/>
    <w:rsid w:val="003E7B8E"/>
    <w:rsid w:val="00420AD4"/>
    <w:rsid w:val="0044014E"/>
    <w:rsid w:val="00442112"/>
    <w:rsid w:val="00444F3C"/>
    <w:rsid w:val="0044547B"/>
    <w:rsid w:val="00447BBA"/>
    <w:rsid w:val="00463B7F"/>
    <w:rsid w:val="00477F7E"/>
    <w:rsid w:val="004828B9"/>
    <w:rsid w:val="00485F97"/>
    <w:rsid w:val="004960EA"/>
    <w:rsid w:val="004972D5"/>
    <w:rsid w:val="004A08E2"/>
    <w:rsid w:val="004A36A6"/>
    <w:rsid w:val="004B0BEC"/>
    <w:rsid w:val="004B35E1"/>
    <w:rsid w:val="004C0B7F"/>
    <w:rsid w:val="004C3F61"/>
    <w:rsid w:val="004D1098"/>
    <w:rsid w:val="004D64C0"/>
    <w:rsid w:val="004D6E51"/>
    <w:rsid w:val="004F0D84"/>
    <w:rsid w:val="004F5425"/>
    <w:rsid w:val="00521355"/>
    <w:rsid w:val="00531FB0"/>
    <w:rsid w:val="00551BBB"/>
    <w:rsid w:val="0055213E"/>
    <w:rsid w:val="00563FA4"/>
    <w:rsid w:val="0056615F"/>
    <w:rsid w:val="00585058"/>
    <w:rsid w:val="005930B1"/>
    <w:rsid w:val="005961E5"/>
    <w:rsid w:val="00597CF6"/>
    <w:rsid w:val="005A56F0"/>
    <w:rsid w:val="005B18EF"/>
    <w:rsid w:val="005B32DC"/>
    <w:rsid w:val="005B7B3E"/>
    <w:rsid w:val="005D44CB"/>
    <w:rsid w:val="005D4AC5"/>
    <w:rsid w:val="005E3B04"/>
    <w:rsid w:val="005F1625"/>
    <w:rsid w:val="005F5CD6"/>
    <w:rsid w:val="0062417C"/>
    <w:rsid w:val="0063664E"/>
    <w:rsid w:val="00640541"/>
    <w:rsid w:val="00660A2A"/>
    <w:rsid w:val="006638B4"/>
    <w:rsid w:val="00663C5E"/>
    <w:rsid w:val="00666082"/>
    <w:rsid w:val="00673050"/>
    <w:rsid w:val="00673466"/>
    <w:rsid w:val="006872FD"/>
    <w:rsid w:val="006A2747"/>
    <w:rsid w:val="006C024D"/>
    <w:rsid w:val="006C508C"/>
    <w:rsid w:val="006C6E92"/>
    <w:rsid w:val="006E4407"/>
    <w:rsid w:val="006F4892"/>
    <w:rsid w:val="0070410A"/>
    <w:rsid w:val="007110A0"/>
    <w:rsid w:val="00715F62"/>
    <w:rsid w:val="00716F24"/>
    <w:rsid w:val="007343E9"/>
    <w:rsid w:val="00737FBB"/>
    <w:rsid w:val="00742AA5"/>
    <w:rsid w:val="00746875"/>
    <w:rsid w:val="007527F8"/>
    <w:rsid w:val="0077710B"/>
    <w:rsid w:val="007927FF"/>
    <w:rsid w:val="007A527E"/>
    <w:rsid w:val="007D35FD"/>
    <w:rsid w:val="007D7398"/>
    <w:rsid w:val="007F28CD"/>
    <w:rsid w:val="007F414E"/>
    <w:rsid w:val="00810ED0"/>
    <w:rsid w:val="0081100A"/>
    <w:rsid w:val="00826BD7"/>
    <w:rsid w:val="008276FF"/>
    <w:rsid w:val="00830279"/>
    <w:rsid w:val="0083122F"/>
    <w:rsid w:val="00831849"/>
    <w:rsid w:val="00832527"/>
    <w:rsid w:val="00853D0F"/>
    <w:rsid w:val="00857F1D"/>
    <w:rsid w:val="00867B66"/>
    <w:rsid w:val="008705F5"/>
    <w:rsid w:val="00874F86"/>
    <w:rsid w:val="008869C9"/>
    <w:rsid w:val="00890345"/>
    <w:rsid w:val="008B0806"/>
    <w:rsid w:val="008B793A"/>
    <w:rsid w:val="008C66A0"/>
    <w:rsid w:val="008E0C97"/>
    <w:rsid w:val="008E13B3"/>
    <w:rsid w:val="008E2682"/>
    <w:rsid w:val="008F0C82"/>
    <w:rsid w:val="008F2B8E"/>
    <w:rsid w:val="00903DD6"/>
    <w:rsid w:val="00912101"/>
    <w:rsid w:val="00926AB0"/>
    <w:rsid w:val="00950AE1"/>
    <w:rsid w:val="00977221"/>
    <w:rsid w:val="00977F94"/>
    <w:rsid w:val="00986C04"/>
    <w:rsid w:val="009936CE"/>
    <w:rsid w:val="009A1B1D"/>
    <w:rsid w:val="009B39E3"/>
    <w:rsid w:val="009C62A0"/>
    <w:rsid w:val="009D132A"/>
    <w:rsid w:val="00A03EA7"/>
    <w:rsid w:val="00A04AFF"/>
    <w:rsid w:val="00A05F3E"/>
    <w:rsid w:val="00A06460"/>
    <w:rsid w:val="00A25856"/>
    <w:rsid w:val="00A415B1"/>
    <w:rsid w:val="00A4179B"/>
    <w:rsid w:val="00A573DE"/>
    <w:rsid w:val="00A6378C"/>
    <w:rsid w:val="00A87472"/>
    <w:rsid w:val="00AC4DCD"/>
    <w:rsid w:val="00AC5B57"/>
    <w:rsid w:val="00AD2296"/>
    <w:rsid w:val="00AD4ED2"/>
    <w:rsid w:val="00AF4580"/>
    <w:rsid w:val="00B04F43"/>
    <w:rsid w:val="00B1742A"/>
    <w:rsid w:val="00B42FC1"/>
    <w:rsid w:val="00B52967"/>
    <w:rsid w:val="00B60F45"/>
    <w:rsid w:val="00B949D7"/>
    <w:rsid w:val="00BA2092"/>
    <w:rsid w:val="00BA7580"/>
    <w:rsid w:val="00BB1130"/>
    <w:rsid w:val="00BB5790"/>
    <w:rsid w:val="00BB68AF"/>
    <w:rsid w:val="00BC3559"/>
    <w:rsid w:val="00BD260A"/>
    <w:rsid w:val="00BF67EB"/>
    <w:rsid w:val="00C00F21"/>
    <w:rsid w:val="00C32730"/>
    <w:rsid w:val="00C3419C"/>
    <w:rsid w:val="00C35D59"/>
    <w:rsid w:val="00C40036"/>
    <w:rsid w:val="00C44000"/>
    <w:rsid w:val="00C52542"/>
    <w:rsid w:val="00C660B9"/>
    <w:rsid w:val="00C75516"/>
    <w:rsid w:val="00C8131B"/>
    <w:rsid w:val="00C8697E"/>
    <w:rsid w:val="00C92820"/>
    <w:rsid w:val="00C948D8"/>
    <w:rsid w:val="00C9719B"/>
    <w:rsid w:val="00C97CF1"/>
    <w:rsid w:val="00CA56B6"/>
    <w:rsid w:val="00CB72FA"/>
    <w:rsid w:val="00CC066C"/>
    <w:rsid w:val="00CC33D6"/>
    <w:rsid w:val="00CC65C7"/>
    <w:rsid w:val="00CD0023"/>
    <w:rsid w:val="00CD3543"/>
    <w:rsid w:val="00CD5C82"/>
    <w:rsid w:val="00CD7336"/>
    <w:rsid w:val="00CE5C73"/>
    <w:rsid w:val="00CF218A"/>
    <w:rsid w:val="00CF3653"/>
    <w:rsid w:val="00D05EE5"/>
    <w:rsid w:val="00D076C2"/>
    <w:rsid w:val="00D13EC2"/>
    <w:rsid w:val="00D31E9A"/>
    <w:rsid w:val="00D31FE7"/>
    <w:rsid w:val="00D32626"/>
    <w:rsid w:val="00D33848"/>
    <w:rsid w:val="00D34A26"/>
    <w:rsid w:val="00D34A87"/>
    <w:rsid w:val="00D5186D"/>
    <w:rsid w:val="00D55288"/>
    <w:rsid w:val="00D6479A"/>
    <w:rsid w:val="00D64D09"/>
    <w:rsid w:val="00D72AF8"/>
    <w:rsid w:val="00D75312"/>
    <w:rsid w:val="00D81196"/>
    <w:rsid w:val="00D813EF"/>
    <w:rsid w:val="00D83258"/>
    <w:rsid w:val="00D84B4C"/>
    <w:rsid w:val="00DA503E"/>
    <w:rsid w:val="00DC4604"/>
    <w:rsid w:val="00DC5C39"/>
    <w:rsid w:val="00DD66BD"/>
    <w:rsid w:val="00DD7AC5"/>
    <w:rsid w:val="00DF0419"/>
    <w:rsid w:val="00DF248D"/>
    <w:rsid w:val="00DF28B4"/>
    <w:rsid w:val="00E0702F"/>
    <w:rsid w:val="00E126DF"/>
    <w:rsid w:val="00E166D0"/>
    <w:rsid w:val="00E2011D"/>
    <w:rsid w:val="00E229DB"/>
    <w:rsid w:val="00E52096"/>
    <w:rsid w:val="00E546D5"/>
    <w:rsid w:val="00E57D98"/>
    <w:rsid w:val="00E6016A"/>
    <w:rsid w:val="00E8518F"/>
    <w:rsid w:val="00E918D0"/>
    <w:rsid w:val="00E96E55"/>
    <w:rsid w:val="00EB5140"/>
    <w:rsid w:val="00EC76B9"/>
    <w:rsid w:val="00ED04C7"/>
    <w:rsid w:val="00ED1B70"/>
    <w:rsid w:val="00ED5891"/>
    <w:rsid w:val="00EF5332"/>
    <w:rsid w:val="00F13B26"/>
    <w:rsid w:val="00F1417F"/>
    <w:rsid w:val="00F1444E"/>
    <w:rsid w:val="00F15557"/>
    <w:rsid w:val="00F20C14"/>
    <w:rsid w:val="00F326E4"/>
    <w:rsid w:val="00F429C1"/>
    <w:rsid w:val="00F45583"/>
    <w:rsid w:val="00F458B9"/>
    <w:rsid w:val="00F45E83"/>
    <w:rsid w:val="00F5404F"/>
    <w:rsid w:val="00F63B64"/>
    <w:rsid w:val="00F7300E"/>
    <w:rsid w:val="00FB1EFE"/>
    <w:rsid w:val="00FB5B6B"/>
    <w:rsid w:val="00FC5E82"/>
    <w:rsid w:val="00FD13B4"/>
    <w:rsid w:val="00FE3894"/>
    <w:rsid w:val="00FE66FD"/>
    <w:rsid w:val="00FE67D4"/>
    <w:rsid w:val="00FF01E1"/>
    <w:rsid w:val="00FF18D9"/>
    <w:rsid w:val="00FF1914"/>
    <w:rsid w:val="00FF412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615F"/>
    <w:pPr>
      <w:spacing w:after="0" w:line="240" w:lineRule="auto"/>
    </w:pPr>
    <w:rPr>
      <w:rFonts w:ascii="Times New Roman" w:eastAsia="Times New Roman" w:hAnsi="Times New Roman" w:cs="Times New Roman"/>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661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rsid w:val="0056615F"/>
    <w:rPr>
      <w:color w:val="0000FF"/>
      <w:u w:val="single"/>
    </w:rPr>
  </w:style>
  <w:style w:type="paragraph" w:styleId="Tekstdymka">
    <w:name w:val="Balloon Text"/>
    <w:basedOn w:val="Normalny"/>
    <w:link w:val="TekstdymkaZnak"/>
    <w:uiPriority w:val="99"/>
    <w:semiHidden/>
    <w:unhideWhenUsed/>
    <w:rsid w:val="0056615F"/>
    <w:rPr>
      <w:rFonts w:ascii="Tahoma" w:hAnsi="Tahoma" w:cs="Tahoma"/>
      <w:sz w:val="16"/>
      <w:szCs w:val="16"/>
    </w:rPr>
  </w:style>
  <w:style w:type="character" w:customStyle="1" w:styleId="TekstdymkaZnak">
    <w:name w:val="Tekst dymka Znak"/>
    <w:basedOn w:val="Domylnaczcionkaakapitu"/>
    <w:link w:val="Tekstdymka"/>
    <w:uiPriority w:val="99"/>
    <w:semiHidden/>
    <w:rsid w:val="0056615F"/>
    <w:rPr>
      <w:rFonts w:ascii="Tahoma" w:eastAsia="Times New Roman" w:hAnsi="Tahoma" w:cs="Tahoma"/>
      <w:spacing w:val="-25"/>
      <w:sz w:val="16"/>
      <w:szCs w:val="16"/>
    </w:rPr>
  </w:style>
  <w:style w:type="paragraph" w:styleId="Nagwek">
    <w:name w:val="header"/>
    <w:basedOn w:val="Normalny"/>
    <w:link w:val="NagwekZnak"/>
    <w:uiPriority w:val="99"/>
    <w:unhideWhenUsed/>
    <w:rsid w:val="0056615F"/>
    <w:pPr>
      <w:tabs>
        <w:tab w:val="center" w:pos="4536"/>
        <w:tab w:val="right" w:pos="9072"/>
      </w:tabs>
    </w:pPr>
  </w:style>
  <w:style w:type="character" w:customStyle="1" w:styleId="NagwekZnak">
    <w:name w:val="Nagłówek Znak"/>
    <w:basedOn w:val="Domylnaczcionkaakapitu"/>
    <w:link w:val="Nagwek"/>
    <w:uiPriority w:val="99"/>
    <w:rsid w:val="0056615F"/>
    <w:rPr>
      <w:rFonts w:ascii="Times New Roman" w:eastAsia="Times New Roman" w:hAnsi="Times New Roman" w:cs="Times New Roman"/>
      <w:sz w:val="24"/>
      <w:szCs w:val="20"/>
    </w:rPr>
  </w:style>
  <w:style w:type="paragraph" w:styleId="Stopka">
    <w:name w:val="footer"/>
    <w:basedOn w:val="Normalny"/>
    <w:link w:val="StopkaZnak"/>
    <w:uiPriority w:val="99"/>
    <w:unhideWhenUsed/>
    <w:rsid w:val="0056615F"/>
    <w:pPr>
      <w:tabs>
        <w:tab w:val="center" w:pos="4536"/>
        <w:tab w:val="right" w:pos="9072"/>
      </w:tabs>
    </w:pPr>
  </w:style>
  <w:style w:type="character" w:customStyle="1" w:styleId="StopkaZnak">
    <w:name w:val="Stopka Znak"/>
    <w:basedOn w:val="Domylnaczcionkaakapitu"/>
    <w:link w:val="Stopka"/>
    <w:uiPriority w:val="99"/>
    <w:rsid w:val="0056615F"/>
    <w:rPr>
      <w:rFonts w:ascii="Times New Roman" w:eastAsia="Times New Roman" w:hAnsi="Times New Roman" w:cs="Times New Roman"/>
      <w:sz w:val="24"/>
      <w:szCs w:val="20"/>
    </w:rPr>
  </w:style>
  <w:style w:type="character" w:styleId="Odwoaniedokomentarza">
    <w:name w:val="annotation reference"/>
    <w:basedOn w:val="Domylnaczcionkaakapitu"/>
    <w:uiPriority w:val="99"/>
    <w:semiHidden/>
    <w:unhideWhenUsed/>
    <w:rsid w:val="00F45E83"/>
    <w:rPr>
      <w:sz w:val="16"/>
      <w:szCs w:val="16"/>
    </w:rPr>
  </w:style>
  <w:style w:type="paragraph" w:styleId="Tekstkomentarza">
    <w:name w:val="annotation text"/>
    <w:basedOn w:val="Normalny"/>
    <w:link w:val="TekstkomentarzaZnak"/>
    <w:uiPriority w:val="99"/>
    <w:semiHidden/>
    <w:unhideWhenUsed/>
    <w:rsid w:val="00F45E83"/>
    <w:rPr>
      <w:sz w:val="20"/>
    </w:rPr>
  </w:style>
  <w:style w:type="character" w:customStyle="1" w:styleId="TekstkomentarzaZnak">
    <w:name w:val="Tekst komentarza Znak"/>
    <w:basedOn w:val="Domylnaczcionkaakapitu"/>
    <w:link w:val="Tekstkomentarza"/>
    <w:uiPriority w:val="99"/>
    <w:semiHidden/>
    <w:rsid w:val="00F45E83"/>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45E83"/>
    <w:rPr>
      <w:b/>
      <w:bCs/>
    </w:rPr>
  </w:style>
  <w:style w:type="character" w:customStyle="1" w:styleId="TematkomentarzaZnak">
    <w:name w:val="Temat komentarza Znak"/>
    <w:basedOn w:val="TekstkomentarzaZnak"/>
    <w:link w:val="Tematkomentarza"/>
    <w:uiPriority w:val="99"/>
    <w:semiHidden/>
    <w:rsid w:val="00F45E83"/>
    <w:rPr>
      <w:rFonts w:ascii="Times New Roman" w:eastAsia="Times New Roman" w:hAnsi="Times New Roman" w:cs="Times New Roman"/>
      <w:b/>
      <w:bCs/>
      <w:sz w:val="20"/>
      <w:szCs w:val="20"/>
    </w:rPr>
  </w:style>
  <w:style w:type="paragraph" w:styleId="Poprawka">
    <w:name w:val="Revision"/>
    <w:hidden/>
    <w:uiPriority w:val="99"/>
    <w:semiHidden/>
    <w:rsid w:val="002E5F3D"/>
    <w:pPr>
      <w:spacing w:after="0" w:line="240" w:lineRule="auto"/>
    </w:pPr>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0E5C4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615F"/>
    <w:pPr>
      <w:spacing w:after="0" w:line="240" w:lineRule="auto"/>
    </w:pPr>
    <w:rPr>
      <w:rFonts w:ascii="Times New Roman" w:eastAsia="Times New Roman" w:hAnsi="Times New Roman" w:cs="Times New Roman"/>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661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rsid w:val="0056615F"/>
    <w:rPr>
      <w:color w:val="0000FF"/>
      <w:u w:val="single"/>
    </w:rPr>
  </w:style>
  <w:style w:type="paragraph" w:styleId="Tekstdymka">
    <w:name w:val="Balloon Text"/>
    <w:basedOn w:val="Normalny"/>
    <w:link w:val="TekstdymkaZnak"/>
    <w:uiPriority w:val="99"/>
    <w:semiHidden/>
    <w:unhideWhenUsed/>
    <w:rsid w:val="0056615F"/>
    <w:rPr>
      <w:rFonts w:ascii="Tahoma" w:hAnsi="Tahoma" w:cs="Tahoma"/>
      <w:sz w:val="16"/>
      <w:szCs w:val="16"/>
    </w:rPr>
  </w:style>
  <w:style w:type="character" w:customStyle="1" w:styleId="TekstdymkaZnak">
    <w:name w:val="Tekst dymka Znak"/>
    <w:basedOn w:val="Domylnaczcionkaakapitu"/>
    <w:link w:val="Tekstdymka"/>
    <w:uiPriority w:val="99"/>
    <w:semiHidden/>
    <w:rsid w:val="0056615F"/>
    <w:rPr>
      <w:rFonts w:ascii="Tahoma" w:eastAsia="Times New Roman" w:hAnsi="Tahoma" w:cs="Tahoma"/>
      <w:spacing w:val="-25"/>
      <w:sz w:val="16"/>
      <w:szCs w:val="16"/>
    </w:rPr>
  </w:style>
  <w:style w:type="paragraph" w:styleId="Nagwek">
    <w:name w:val="header"/>
    <w:basedOn w:val="Normalny"/>
    <w:link w:val="NagwekZnak"/>
    <w:uiPriority w:val="99"/>
    <w:unhideWhenUsed/>
    <w:rsid w:val="0056615F"/>
    <w:pPr>
      <w:tabs>
        <w:tab w:val="center" w:pos="4536"/>
        <w:tab w:val="right" w:pos="9072"/>
      </w:tabs>
    </w:pPr>
  </w:style>
  <w:style w:type="character" w:customStyle="1" w:styleId="NagwekZnak">
    <w:name w:val="Nagłówek Znak"/>
    <w:basedOn w:val="Domylnaczcionkaakapitu"/>
    <w:link w:val="Nagwek"/>
    <w:uiPriority w:val="99"/>
    <w:rsid w:val="0056615F"/>
    <w:rPr>
      <w:rFonts w:ascii="Times New Roman" w:eastAsia="Times New Roman" w:hAnsi="Times New Roman" w:cs="Times New Roman"/>
      <w:sz w:val="24"/>
      <w:szCs w:val="20"/>
    </w:rPr>
  </w:style>
  <w:style w:type="paragraph" w:styleId="Stopka">
    <w:name w:val="footer"/>
    <w:basedOn w:val="Normalny"/>
    <w:link w:val="StopkaZnak"/>
    <w:uiPriority w:val="99"/>
    <w:unhideWhenUsed/>
    <w:rsid w:val="0056615F"/>
    <w:pPr>
      <w:tabs>
        <w:tab w:val="center" w:pos="4536"/>
        <w:tab w:val="right" w:pos="9072"/>
      </w:tabs>
    </w:pPr>
  </w:style>
  <w:style w:type="character" w:customStyle="1" w:styleId="StopkaZnak">
    <w:name w:val="Stopka Znak"/>
    <w:basedOn w:val="Domylnaczcionkaakapitu"/>
    <w:link w:val="Stopka"/>
    <w:uiPriority w:val="99"/>
    <w:rsid w:val="0056615F"/>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148107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etinholdin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F87FCA-B765-4702-960C-2FA736C22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565</Words>
  <Characters>3392</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Getin Holding S.A.</Company>
  <LinksUpToDate>false</LinksUpToDate>
  <CharactersWithSpaces>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Bnińska Maria</dc:creator>
  <cp:lastModifiedBy>a.newecki</cp:lastModifiedBy>
  <cp:revision>20</cp:revision>
  <cp:lastPrinted>2013-03-11T13:10:00Z</cp:lastPrinted>
  <dcterms:created xsi:type="dcterms:W3CDTF">2013-03-11T14:15:00Z</dcterms:created>
  <dcterms:modified xsi:type="dcterms:W3CDTF">2013-03-11T15:07:00Z</dcterms:modified>
</cp:coreProperties>
</file>