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49" w:rsidRPr="005A17BE" w:rsidRDefault="004A36A6" w:rsidP="00C12413">
      <w:pPr>
        <w:spacing w:line="288" w:lineRule="auto"/>
        <w:jc w:val="right"/>
        <w:rPr>
          <w:szCs w:val="24"/>
        </w:rPr>
      </w:pPr>
      <w:bookmarkStart w:id="0" w:name="_GoBack"/>
      <w:bookmarkEnd w:id="0"/>
      <w:r w:rsidRPr="00826BD7">
        <w:rPr>
          <w:szCs w:val="24"/>
        </w:rPr>
        <w:tab/>
      </w:r>
      <w:r w:rsidRPr="00826BD7">
        <w:rPr>
          <w:szCs w:val="24"/>
        </w:rPr>
        <w:tab/>
      </w:r>
      <w:r w:rsidRPr="00826BD7">
        <w:rPr>
          <w:szCs w:val="24"/>
        </w:rPr>
        <w:tab/>
      </w:r>
      <w:r w:rsidRPr="00826BD7">
        <w:rPr>
          <w:szCs w:val="24"/>
        </w:rPr>
        <w:tab/>
      </w:r>
      <w:r w:rsidRPr="00826BD7">
        <w:rPr>
          <w:szCs w:val="24"/>
        </w:rPr>
        <w:tab/>
      </w:r>
      <w:r w:rsidRPr="00826BD7">
        <w:rPr>
          <w:szCs w:val="24"/>
        </w:rPr>
        <w:tab/>
      </w:r>
      <w:r w:rsidRPr="00826BD7">
        <w:rPr>
          <w:szCs w:val="24"/>
        </w:rPr>
        <w:tab/>
      </w:r>
      <w:r w:rsidRPr="005A17BE">
        <w:rPr>
          <w:szCs w:val="24"/>
        </w:rPr>
        <w:t>Warszawa,</w:t>
      </w:r>
      <w:r w:rsidR="00EB3BE6" w:rsidRPr="005A17BE">
        <w:rPr>
          <w:szCs w:val="24"/>
        </w:rPr>
        <w:t xml:space="preserve"> </w:t>
      </w:r>
      <w:r w:rsidR="00300483">
        <w:rPr>
          <w:szCs w:val="24"/>
        </w:rPr>
        <w:t>19</w:t>
      </w:r>
      <w:r w:rsidR="007C6829">
        <w:rPr>
          <w:szCs w:val="24"/>
        </w:rPr>
        <w:t xml:space="preserve"> </w:t>
      </w:r>
      <w:r w:rsidR="00300483">
        <w:rPr>
          <w:szCs w:val="24"/>
        </w:rPr>
        <w:t>marca</w:t>
      </w:r>
      <w:r w:rsidR="007C6829">
        <w:rPr>
          <w:szCs w:val="24"/>
        </w:rPr>
        <w:t xml:space="preserve"> </w:t>
      </w:r>
      <w:r w:rsidRPr="005A17BE">
        <w:rPr>
          <w:szCs w:val="24"/>
        </w:rPr>
        <w:t>201</w:t>
      </w:r>
      <w:r w:rsidR="00C75516" w:rsidRPr="005A17BE">
        <w:rPr>
          <w:szCs w:val="24"/>
        </w:rPr>
        <w:t>3</w:t>
      </w:r>
    </w:p>
    <w:p w:rsidR="00831849" w:rsidRPr="005A17BE" w:rsidRDefault="00831849" w:rsidP="00C12413">
      <w:pPr>
        <w:spacing w:line="288" w:lineRule="auto"/>
        <w:rPr>
          <w:szCs w:val="24"/>
        </w:rPr>
      </w:pPr>
    </w:p>
    <w:p w:rsidR="00831849" w:rsidRPr="005A17BE" w:rsidRDefault="00831849" w:rsidP="00C12413">
      <w:pPr>
        <w:spacing w:line="288" w:lineRule="auto"/>
        <w:rPr>
          <w:szCs w:val="24"/>
        </w:rPr>
      </w:pPr>
    </w:p>
    <w:p w:rsidR="00831849" w:rsidRPr="005A17BE" w:rsidRDefault="004A36A6" w:rsidP="00C12413">
      <w:pPr>
        <w:spacing w:line="288" w:lineRule="auto"/>
        <w:jc w:val="right"/>
        <w:rPr>
          <w:szCs w:val="24"/>
        </w:rPr>
      </w:pPr>
      <w:r w:rsidRPr="005A17BE">
        <w:rPr>
          <w:szCs w:val="24"/>
        </w:rPr>
        <w:t>Informacja Prasowa</w:t>
      </w:r>
    </w:p>
    <w:p w:rsidR="00831849" w:rsidRPr="005A17BE" w:rsidRDefault="00831849" w:rsidP="00C12413">
      <w:pPr>
        <w:spacing w:line="288" w:lineRule="auto"/>
        <w:rPr>
          <w:szCs w:val="24"/>
        </w:rPr>
      </w:pPr>
    </w:p>
    <w:p w:rsidR="00831849" w:rsidRPr="005A17BE" w:rsidRDefault="00831849" w:rsidP="00C12413">
      <w:pPr>
        <w:spacing w:line="288" w:lineRule="auto"/>
        <w:jc w:val="center"/>
        <w:rPr>
          <w:b/>
          <w:sz w:val="28"/>
          <w:szCs w:val="24"/>
        </w:rPr>
      </w:pPr>
    </w:p>
    <w:p w:rsidR="00D5186D" w:rsidRPr="005A17BE" w:rsidRDefault="00D5186D" w:rsidP="00C12413">
      <w:pPr>
        <w:spacing w:line="288" w:lineRule="auto"/>
        <w:rPr>
          <w:b/>
          <w:sz w:val="28"/>
          <w:szCs w:val="24"/>
        </w:rPr>
      </w:pPr>
      <w:r w:rsidRPr="005A17BE">
        <w:rPr>
          <w:b/>
          <w:sz w:val="28"/>
          <w:szCs w:val="24"/>
        </w:rPr>
        <w:t xml:space="preserve">Wyniki </w:t>
      </w:r>
      <w:r w:rsidR="0039500A" w:rsidRPr="005A17BE">
        <w:rPr>
          <w:b/>
          <w:sz w:val="28"/>
          <w:szCs w:val="24"/>
        </w:rPr>
        <w:t>G</w:t>
      </w:r>
      <w:r w:rsidRPr="005A17BE">
        <w:rPr>
          <w:b/>
          <w:sz w:val="28"/>
          <w:szCs w:val="24"/>
        </w:rPr>
        <w:t xml:space="preserve">rupy kapitałowej Getin Holding </w:t>
      </w:r>
      <w:r w:rsidR="00300483">
        <w:rPr>
          <w:b/>
          <w:sz w:val="28"/>
          <w:szCs w:val="24"/>
        </w:rPr>
        <w:t>za rok 2013</w:t>
      </w:r>
    </w:p>
    <w:p w:rsidR="00831849" w:rsidRPr="005A17BE" w:rsidRDefault="00831849" w:rsidP="00C12413">
      <w:pPr>
        <w:spacing w:line="288" w:lineRule="auto"/>
        <w:jc w:val="center"/>
        <w:rPr>
          <w:szCs w:val="24"/>
        </w:rPr>
      </w:pPr>
    </w:p>
    <w:p w:rsidR="00300483" w:rsidRDefault="00300483" w:rsidP="00C12413">
      <w:pPr>
        <w:spacing w:line="288" w:lineRule="auto"/>
        <w:jc w:val="both"/>
        <w:rPr>
          <w:b/>
          <w:szCs w:val="24"/>
        </w:rPr>
      </w:pPr>
      <w:r>
        <w:rPr>
          <w:b/>
          <w:szCs w:val="24"/>
        </w:rPr>
        <w:t xml:space="preserve">W dwa lata po podziale Grupy, Getin Holding wypracował roczny zysk netto przypisany akcjonariuszom jednostki dominującej na poziomie </w:t>
      </w:r>
      <w:r w:rsidR="004E10C5">
        <w:rPr>
          <w:b/>
          <w:szCs w:val="24"/>
        </w:rPr>
        <w:t>248,9</w:t>
      </w:r>
      <w:r>
        <w:rPr>
          <w:b/>
          <w:szCs w:val="24"/>
        </w:rPr>
        <w:t xml:space="preserve"> mln PLN</w:t>
      </w:r>
      <w:r w:rsidR="00F023A8">
        <w:rPr>
          <w:b/>
          <w:szCs w:val="24"/>
        </w:rPr>
        <w:t xml:space="preserve">. </w:t>
      </w:r>
      <w:r w:rsidR="004E10C5">
        <w:rPr>
          <w:b/>
          <w:szCs w:val="24"/>
        </w:rPr>
        <w:t xml:space="preserve">Połowa </w:t>
      </w:r>
      <w:r w:rsidR="00F023A8">
        <w:rPr>
          <w:b/>
          <w:szCs w:val="24"/>
        </w:rPr>
        <w:t xml:space="preserve">została wypracowana przez spółki zagraniczne. W IV kwartale Grupa z sukcesem sfinalizowała przejecie banku na Białorusi oraz w Rumunii, zwiększając tym samym liczbę kontrolowanych w </w:t>
      </w:r>
      <w:r w:rsidR="004E10C5">
        <w:rPr>
          <w:b/>
          <w:szCs w:val="24"/>
        </w:rPr>
        <w:t>Europie</w:t>
      </w:r>
      <w:r w:rsidR="00F023A8">
        <w:rPr>
          <w:b/>
          <w:szCs w:val="24"/>
        </w:rPr>
        <w:t xml:space="preserve"> </w:t>
      </w:r>
      <w:r w:rsidR="004E10C5">
        <w:rPr>
          <w:b/>
          <w:szCs w:val="24"/>
        </w:rPr>
        <w:t xml:space="preserve">banków </w:t>
      </w:r>
      <w:r w:rsidR="00F023A8">
        <w:rPr>
          <w:b/>
          <w:szCs w:val="24"/>
        </w:rPr>
        <w:t>do sześciu.</w:t>
      </w:r>
    </w:p>
    <w:p w:rsidR="0076703A" w:rsidRDefault="0076703A" w:rsidP="00C12413">
      <w:pPr>
        <w:spacing w:line="288" w:lineRule="auto"/>
        <w:jc w:val="both"/>
        <w:rPr>
          <w:b/>
          <w:szCs w:val="24"/>
          <w:highlight w:val="yellow"/>
        </w:rPr>
      </w:pPr>
    </w:p>
    <w:p w:rsidR="00D36264" w:rsidRPr="004A7CD3" w:rsidRDefault="00D36264" w:rsidP="00C12413">
      <w:pPr>
        <w:spacing w:line="288" w:lineRule="auto"/>
        <w:jc w:val="both"/>
        <w:rPr>
          <w:szCs w:val="24"/>
        </w:rPr>
      </w:pPr>
      <w:r w:rsidRPr="004A7CD3">
        <w:rPr>
          <w:szCs w:val="24"/>
        </w:rPr>
        <w:t>„</w:t>
      </w:r>
      <w:r w:rsidR="004A7CD3">
        <w:rPr>
          <w:szCs w:val="24"/>
        </w:rPr>
        <w:t>Miniony rok był dla nas wyjątkowo udany zarówno pod względem dynamiki rozwoju</w:t>
      </w:r>
      <w:r w:rsidR="004E10C5">
        <w:rPr>
          <w:szCs w:val="24"/>
        </w:rPr>
        <w:t>,</w:t>
      </w:r>
      <w:r w:rsidR="004A7CD3">
        <w:rPr>
          <w:szCs w:val="24"/>
        </w:rPr>
        <w:t xml:space="preserve"> wzrostu efektywności spółek wchodzących w skład Grupy, jak również </w:t>
      </w:r>
      <w:r w:rsidR="00DD5ABA">
        <w:rPr>
          <w:szCs w:val="24"/>
        </w:rPr>
        <w:t xml:space="preserve">skuteczności działań akwizycyjnych. ROE czterech grup biznesowych przekroczyło 20%” – mówi Rafał Juszczak, Prezes Zarządu Getin Holding. </w:t>
      </w:r>
      <w:r w:rsidR="006376FC">
        <w:rPr>
          <w:szCs w:val="24"/>
        </w:rPr>
        <w:t>„Wzmocnienie naszej pozycji na Białorusi oraz wkroczenie na rynek rumuński, pozwolą nam na dalsze wzmocnienie zagranicznej działalności Holdingu</w:t>
      </w:r>
      <w:r w:rsidR="00BC2513">
        <w:rPr>
          <w:szCs w:val="24"/>
        </w:rPr>
        <w:t>, jako istotnego źródła przychodów</w:t>
      </w:r>
      <w:r w:rsidR="006376FC">
        <w:rPr>
          <w:szCs w:val="24"/>
        </w:rPr>
        <w:t xml:space="preserve">” – dodaje. </w:t>
      </w:r>
      <w:r w:rsidR="004A7CD3" w:rsidRPr="004A7CD3">
        <w:rPr>
          <w:szCs w:val="24"/>
        </w:rPr>
        <w:t xml:space="preserve"> </w:t>
      </w:r>
    </w:p>
    <w:p w:rsidR="00D36264" w:rsidRDefault="00D36264" w:rsidP="00C12413">
      <w:pPr>
        <w:spacing w:line="288" w:lineRule="auto"/>
        <w:jc w:val="both"/>
        <w:rPr>
          <w:b/>
          <w:szCs w:val="24"/>
          <w:highlight w:val="yellow"/>
        </w:rPr>
      </w:pPr>
    </w:p>
    <w:p w:rsidR="00A13C58" w:rsidRPr="008525A0" w:rsidRDefault="00A30CFF" w:rsidP="00C12413">
      <w:pPr>
        <w:spacing w:line="288" w:lineRule="auto"/>
        <w:jc w:val="both"/>
        <w:rPr>
          <w:szCs w:val="24"/>
        </w:rPr>
      </w:pPr>
      <w:r w:rsidRPr="008525A0">
        <w:rPr>
          <w:szCs w:val="24"/>
        </w:rPr>
        <w:t>Zgodnie z realizowaną strategią rozwoju zdywersyfikowanej przychodowo</w:t>
      </w:r>
      <w:r w:rsidR="00085FAC" w:rsidRPr="008525A0">
        <w:rPr>
          <w:szCs w:val="24"/>
        </w:rPr>
        <w:t xml:space="preserve"> </w:t>
      </w:r>
      <w:r w:rsidRPr="008525A0">
        <w:rPr>
          <w:szCs w:val="24"/>
        </w:rPr>
        <w:t>i geograficznie grupy kapitałowej, Getin Holding aktywnie działa na rynku tra</w:t>
      </w:r>
      <w:r w:rsidR="00DA29D9" w:rsidRPr="008525A0">
        <w:rPr>
          <w:szCs w:val="24"/>
        </w:rPr>
        <w:t xml:space="preserve">nsakcji M&amp;A. W październiku </w:t>
      </w:r>
      <w:r w:rsidR="008525A0" w:rsidRPr="008525A0">
        <w:rPr>
          <w:szCs w:val="24"/>
        </w:rPr>
        <w:t xml:space="preserve">2013 roku </w:t>
      </w:r>
      <w:r w:rsidR="00DA29D9" w:rsidRPr="008525A0">
        <w:rPr>
          <w:szCs w:val="24"/>
        </w:rPr>
        <w:t xml:space="preserve">Grupa przejęła </w:t>
      </w:r>
      <w:r w:rsidR="004334C8" w:rsidRPr="008525A0">
        <w:rPr>
          <w:szCs w:val="24"/>
        </w:rPr>
        <w:t>Białoruski Bank Małego Biznesu</w:t>
      </w:r>
      <w:r w:rsidR="00A13C58" w:rsidRPr="008525A0">
        <w:rPr>
          <w:szCs w:val="24"/>
        </w:rPr>
        <w:t>,</w:t>
      </w:r>
      <w:r w:rsidR="004334C8" w:rsidRPr="008525A0">
        <w:rPr>
          <w:szCs w:val="24"/>
        </w:rPr>
        <w:t xml:space="preserve"> instytucję finansową wyspecjalizowaną w obsłudze małych i średnich firm.</w:t>
      </w:r>
      <w:r w:rsidR="008525A0" w:rsidRPr="008525A0">
        <w:rPr>
          <w:szCs w:val="24"/>
        </w:rPr>
        <w:t xml:space="preserve"> W grudniu w skład Holdingu wszedł</w:t>
      </w:r>
      <w:r w:rsidR="00A13C58" w:rsidRPr="008525A0">
        <w:rPr>
          <w:szCs w:val="24"/>
        </w:rPr>
        <w:t xml:space="preserve"> </w:t>
      </w:r>
      <w:proofErr w:type="spellStart"/>
      <w:r w:rsidR="00A13C58" w:rsidRPr="008525A0">
        <w:rPr>
          <w:szCs w:val="24"/>
        </w:rPr>
        <w:t>Romanian</w:t>
      </w:r>
      <w:proofErr w:type="spellEnd"/>
      <w:r w:rsidR="00A13C58" w:rsidRPr="008525A0">
        <w:rPr>
          <w:szCs w:val="24"/>
        </w:rPr>
        <w:t xml:space="preserve"> International Bank, działając</w:t>
      </w:r>
      <w:r w:rsidR="008525A0" w:rsidRPr="008525A0">
        <w:rPr>
          <w:szCs w:val="24"/>
        </w:rPr>
        <w:t>y</w:t>
      </w:r>
      <w:r w:rsidR="00085FAC" w:rsidRPr="008525A0">
        <w:rPr>
          <w:szCs w:val="24"/>
        </w:rPr>
        <w:t xml:space="preserve"> </w:t>
      </w:r>
      <w:r w:rsidR="00A13C58" w:rsidRPr="008525A0">
        <w:rPr>
          <w:szCs w:val="24"/>
        </w:rPr>
        <w:t xml:space="preserve">w segmencie klientów indywidualnych oraz małych i średnich firm. Rumuński bank </w:t>
      </w:r>
      <w:r w:rsidR="008525A0" w:rsidRPr="008525A0">
        <w:rPr>
          <w:szCs w:val="24"/>
        </w:rPr>
        <w:t>jest</w:t>
      </w:r>
      <w:r w:rsidR="00A13C58" w:rsidRPr="008525A0">
        <w:rPr>
          <w:szCs w:val="24"/>
        </w:rPr>
        <w:t xml:space="preserve"> szóstym w strukturach </w:t>
      </w:r>
      <w:r w:rsidR="008525A0" w:rsidRPr="008525A0">
        <w:rPr>
          <w:szCs w:val="24"/>
        </w:rPr>
        <w:t>Grupy</w:t>
      </w:r>
      <w:r w:rsidR="00A13C58" w:rsidRPr="008525A0">
        <w:rPr>
          <w:szCs w:val="24"/>
        </w:rPr>
        <w:t>.</w:t>
      </w:r>
    </w:p>
    <w:p w:rsidR="00F62F17" w:rsidRDefault="00F62F17" w:rsidP="00C12413">
      <w:pPr>
        <w:spacing w:line="288" w:lineRule="auto"/>
        <w:jc w:val="both"/>
        <w:rPr>
          <w:szCs w:val="24"/>
          <w:highlight w:val="yellow"/>
        </w:rPr>
      </w:pPr>
    </w:p>
    <w:p w:rsidR="00F62F17" w:rsidRPr="00F62F17" w:rsidRDefault="00F62F17" w:rsidP="00C12413">
      <w:pPr>
        <w:spacing w:line="288" w:lineRule="auto"/>
        <w:jc w:val="both"/>
        <w:rPr>
          <w:szCs w:val="24"/>
        </w:rPr>
      </w:pPr>
      <w:r w:rsidRPr="00F62F17">
        <w:rPr>
          <w:szCs w:val="24"/>
        </w:rPr>
        <w:t xml:space="preserve">W 2013 roku </w:t>
      </w:r>
      <w:r w:rsidR="00142BC2">
        <w:rPr>
          <w:szCs w:val="24"/>
        </w:rPr>
        <w:t>g</w:t>
      </w:r>
      <w:r w:rsidRPr="00F62F17">
        <w:rPr>
          <w:szCs w:val="24"/>
        </w:rPr>
        <w:t>rupa</w:t>
      </w:r>
      <w:r w:rsidR="00841538">
        <w:rPr>
          <w:szCs w:val="24"/>
        </w:rPr>
        <w:t xml:space="preserve"> Idea Bank P</w:t>
      </w:r>
      <w:r w:rsidRPr="00F62F17">
        <w:rPr>
          <w:szCs w:val="24"/>
        </w:rPr>
        <w:t>olska wypracowała zysk netto</w:t>
      </w:r>
      <w:r w:rsidR="0084338B">
        <w:rPr>
          <w:szCs w:val="24"/>
        </w:rPr>
        <w:t xml:space="preserve"> (dla akcjonariuszy jednostki dominującej)</w:t>
      </w:r>
      <w:r w:rsidRPr="00F62F17">
        <w:rPr>
          <w:szCs w:val="24"/>
        </w:rPr>
        <w:t xml:space="preserve"> na poziomie</w:t>
      </w:r>
      <w:r w:rsidR="00EE53E3">
        <w:rPr>
          <w:szCs w:val="24"/>
        </w:rPr>
        <w:t xml:space="preserve"> </w:t>
      </w:r>
      <w:r w:rsidR="004E10C5">
        <w:rPr>
          <w:szCs w:val="24"/>
        </w:rPr>
        <w:t>107,3</w:t>
      </w:r>
      <w:r w:rsidR="00EE53E3">
        <w:rPr>
          <w:szCs w:val="24"/>
        </w:rPr>
        <w:t xml:space="preserve"> mln PLN, co jest wynikiem </w:t>
      </w:r>
      <w:r w:rsidR="004E10C5">
        <w:rPr>
          <w:szCs w:val="24"/>
        </w:rPr>
        <w:t xml:space="preserve">czterokrotnie </w:t>
      </w:r>
      <w:r w:rsidR="00EE53E3">
        <w:rPr>
          <w:szCs w:val="24"/>
        </w:rPr>
        <w:t>lepszym niż rok wcześniej. Na koniec IV kwartału aktywa Grupy wynosiły 7,4 mld PLN (+</w:t>
      </w:r>
      <w:r w:rsidR="00537AF0">
        <w:rPr>
          <w:szCs w:val="24"/>
        </w:rPr>
        <w:t>42,5</w:t>
      </w:r>
      <w:r w:rsidR="00EE53E3">
        <w:rPr>
          <w:szCs w:val="24"/>
        </w:rPr>
        <w:t xml:space="preserve">% r/r). </w:t>
      </w:r>
      <w:r w:rsidR="009A4C6D">
        <w:rPr>
          <w:szCs w:val="24"/>
        </w:rPr>
        <w:t xml:space="preserve">Bank </w:t>
      </w:r>
      <w:r w:rsidR="008F2323">
        <w:rPr>
          <w:szCs w:val="24"/>
        </w:rPr>
        <w:t>otworzył</w:t>
      </w:r>
      <w:r w:rsidR="004E10C5">
        <w:rPr>
          <w:szCs w:val="24"/>
        </w:rPr>
        <w:t xml:space="preserve"> </w:t>
      </w:r>
      <w:r w:rsidR="009A4C6D">
        <w:rPr>
          <w:szCs w:val="24"/>
        </w:rPr>
        <w:t xml:space="preserve">ponad 56 tys. </w:t>
      </w:r>
      <w:proofErr w:type="spellStart"/>
      <w:r w:rsidR="009A4C6D">
        <w:rPr>
          <w:szCs w:val="24"/>
        </w:rPr>
        <w:t>RORów</w:t>
      </w:r>
      <w:proofErr w:type="spellEnd"/>
      <w:r w:rsidR="009A4C6D">
        <w:rPr>
          <w:szCs w:val="24"/>
        </w:rPr>
        <w:t xml:space="preserve"> firmowych, a należąca do niego spółka  </w:t>
      </w:r>
      <w:proofErr w:type="spellStart"/>
      <w:r w:rsidR="009A4C6D">
        <w:rPr>
          <w:szCs w:val="24"/>
        </w:rPr>
        <w:t>Tax</w:t>
      </w:r>
      <w:proofErr w:type="spellEnd"/>
      <w:r w:rsidR="009A4C6D">
        <w:rPr>
          <w:szCs w:val="24"/>
        </w:rPr>
        <w:t xml:space="preserve"> </w:t>
      </w:r>
      <w:proofErr w:type="spellStart"/>
      <w:r w:rsidR="009A4C6D">
        <w:rPr>
          <w:szCs w:val="24"/>
        </w:rPr>
        <w:t>Care</w:t>
      </w:r>
      <w:proofErr w:type="spellEnd"/>
      <w:r w:rsidR="009A4C6D">
        <w:rPr>
          <w:szCs w:val="24"/>
        </w:rPr>
        <w:t xml:space="preserve"> zwiększył</w:t>
      </w:r>
      <w:r w:rsidR="00841538">
        <w:rPr>
          <w:szCs w:val="24"/>
        </w:rPr>
        <w:t>a</w:t>
      </w:r>
      <w:r w:rsidR="009A4C6D">
        <w:rPr>
          <w:szCs w:val="24"/>
        </w:rPr>
        <w:t xml:space="preserve"> ilość aktywnych abonamentów księgowych </w:t>
      </w:r>
      <w:r w:rsidR="00E73ABD">
        <w:rPr>
          <w:szCs w:val="24"/>
        </w:rPr>
        <w:t xml:space="preserve">do 15,2 tys. </w:t>
      </w:r>
      <w:r w:rsidR="00EE53E3">
        <w:rPr>
          <w:szCs w:val="24"/>
        </w:rPr>
        <w:t xml:space="preserve"> </w:t>
      </w:r>
    </w:p>
    <w:p w:rsidR="00F62F17" w:rsidRDefault="00F62F17" w:rsidP="00C12413">
      <w:pPr>
        <w:spacing w:line="288" w:lineRule="auto"/>
        <w:jc w:val="both"/>
        <w:rPr>
          <w:szCs w:val="24"/>
          <w:highlight w:val="yellow"/>
        </w:rPr>
      </w:pPr>
    </w:p>
    <w:p w:rsidR="001F0720" w:rsidRPr="00EA4A31" w:rsidRDefault="00582959" w:rsidP="00C12413">
      <w:pPr>
        <w:spacing w:line="288" w:lineRule="auto"/>
        <w:jc w:val="both"/>
        <w:rPr>
          <w:szCs w:val="24"/>
        </w:rPr>
      </w:pPr>
      <w:r w:rsidRPr="00EA4A31">
        <w:rPr>
          <w:szCs w:val="24"/>
        </w:rPr>
        <w:t>Największą kontrybucję</w:t>
      </w:r>
      <w:r w:rsidR="00841538">
        <w:rPr>
          <w:szCs w:val="24"/>
        </w:rPr>
        <w:t>,</w:t>
      </w:r>
      <w:r w:rsidRPr="00EA4A31">
        <w:rPr>
          <w:szCs w:val="24"/>
        </w:rPr>
        <w:t xml:space="preserve"> </w:t>
      </w:r>
      <w:r w:rsidR="00626E98">
        <w:rPr>
          <w:szCs w:val="24"/>
        </w:rPr>
        <w:t>spośród spółek zagranicznych</w:t>
      </w:r>
      <w:r w:rsidR="00841538">
        <w:rPr>
          <w:szCs w:val="24"/>
        </w:rPr>
        <w:t>,</w:t>
      </w:r>
      <w:r w:rsidR="00626E98">
        <w:rPr>
          <w:szCs w:val="24"/>
        </w:rPr>
        <w:t xml:space="preserve"> </w:t>
      </w:r>
      <w:r w:rsidRPr="00EA4A31">
        <w:rPr>
          <w:szCs w:val="24"/>
        </w:rPr>
        <w:t>do wyniku Getin Holding tradycyjnie wniosła działająca w Rosji</w:t>
      </w:r>
      <w:r w:rsidR="00DA73A3" w:rsidRPr="00EA4A31">
        <w:rPr>
          <w:szCs w:val="24"/>
        </w:rPr>
        <w:t xml:space="preserve"> </w:t>
      </w:r>
      <w:r w:rsidR="0084338B">
        <w:rPr>
          <w:szCs w:val="24"/>
        </w:rPr>
        <w:t>G</w:t>
      </w:r>
      <w:r w:rsidR="0084338B" w:rsidRPr="00EA4A31">
        <w:rPr>
          <w:szCs w:val="24"/>
        </w:rPr>
        <w:t xml:space="preserve">rupa </w:t>
      </w:r>
      <w:r w:rsidR="00DA73A3" w:rsidRPr="00EA4A31">
        <w:rPr>
          <w:szCs w:val="24"/>
        </w:rPr>
        <w:t xml:space="preserve">Carcade. Jej zysk po czterech kwartałach 2013 roku wyniósł 59,2 mln PLN i był o 9,2% większy w ujęciu rok do roku. Grupa utrzymała wysoki, </w:t>
      </w:r>
      <w:r w:rsidR="00537AF0" w:rsidRPr="00EA4A31">
        <w:rPr>
          <w:szCs w:val="24"/>
        </w:rPr>
        <w:t>2</w:t>
      </w:r>
      <w:r w:rsidR="00537AF0">
        <w:rPr>
          <w:szCs w:val="24"/>
        </w:rPr>
        <w:t>4,5</w:t>
      </w:r>
      <w:r w:rsidR="00DA73A3" w:rsidRPr="00EA4A31">
        <w:rPr>
          <w:szCs w:val="24"/>
        </w:rPr>
        <w:t xml:space="preserve">% poziom wskaźnika ROE. </w:t>
      </w:r>
      <w:r w:rsidR="00720E6C" w:rsidRPr="0002165D">
        <w:rPr>
          <w:szCs w:val="24"/>
        </w:rPr>
        <w:t xml:space="preserve">W 2013 roku sprzedaż </w:t>
      </w:r>
      <w:r w:rsidR="008F2323">
        <w:rPr>
          <w:szCs w:val="24"/>
        </w:rPr>
        <w:t>leasingu</w:t>
      </w:r>
      <w:r w:rsidR="008F2323" w:rsidRPr="0002165D">
        <w:rPr>
          <w:szCs w:val="24"/>
        </w:rPr>
        <w:t xml:space="preserve"> </w:t>
      </w:r>
      <w:r w:rsidR="00720E6C" w:rsidRPr="0002165D">
        <w:rPr>
          <w:szCs w:val="24"/>
        </w:rPr>
        <w:t xml:space="preserve">wzrosła o </w:t>
      </w:r>
      <w:r w:rsidR="008F2323">
        <w:rPr>
          <w:szCs w:val="24"/>
        </w:rPr>
        <w:t>22,5</w:t>
      </w:r>
      <w:r w:rsidR="00720E6C" w:rsidRPr="0002165D">
        <w:rPr>
          <w:szCs w:val="24"/>
        </w:rPr>
        <w:t xml:space="preserve">% (r/r) do </w:t>
      </w:r>
      <w:r w:rsidR="008F2323">
        <w:rPr>
          <w:szCs w:val="24"/>
        </w:rPr>
        <w:t>1,9</w:t>
      </w:r>
      <w:r w:rsidR="00720E6C" w:rsidRPr="0002165D">
        <w:rPr>
          <w:szCs w:val="24"/>
        </w:rPr>
        <w:t xml:space="preserve"> </w:t>
      </w:r>
      <w:r w:rsidR="00720E6C" w:rsidRPr="0002165D">
        <w:rPr>
          <w:szCs w:val="24"/>
        </w:rPr>
        <w:lastRenderedPageBreak/>
        <w:t xml:space="preserve">mld PLN. Należący do </w:t>
      </w:r>
      <w:r w:rsidR="0084338B">
        <w:rPr>
          <w:szCs w:val="24"/>
        </w:rPr>
        <w:t>G</w:t>
      </w:r>
      <w:r w:rsidR="0084338B" w:rsidRPr="0002165D">
        <w:rPr>
          <w:szCs w:val="24"/>
        </w:rPr>
        <w:t xml:space="preserve">rupy </w:t>
      </w:r>
      <w:r w:rsidR="00720E6C" w:rsidRPr="0002165D">
        <w:rPr>
          <w:szCs w:val="24"/>
        </w:rPr>
        <w:t xml:space="preserve">Carcade Idea Bank Rosja odnotował </w:t>
      </w:r>
      <w:r w:rsidR="008F2323" w:rsidRPr="0002165D">
        <w:rPr>
          <w:szCs w:val="24"/>
        </w:rPr>
        <w:t>8</w:t>
      </w:r>
      <w:r w:rsidR="008F2323">
        <w:rPr>
          <w:szCs w:val="24"/>
        </w:rPr>
        <w:t>2,8</w:t>
      </w:r>
      <w:r w:rsidR="00720E6C" w:rsidRPr="0002165D">
        <w:rPr>
          <w:szCs w:val="24"/>
        </w:rPr>
        <w:t xml:space="preserve">% (r/r) wzrost sprzedaży kredytów, do poziomu </w:t>
      </w:r>
      <w:r w:rsidR="0002165D" w:rsidRPr="0002165D">
        <w:rPr>
          <w:szCs w:val="24"/>
        </w:rPr>
        <w:t>231,3</w:t>
      </w:r>
      <w:r w:rsidR="00720E6C" w:rsidRPr="0002165D">
        <w:rPr>
          <w:szCs w:val="24"/>
        </w:rPr>
        <w:t xml:space="preserve"> mln PLN.  </w:t>
      </w:r>
    </w:p>
    <w:p w:rsidR="001F0720" w:rsidRDefault="001F0720" w:rsidP="00C12413">
      <w:pPr>
        <w:spacing w:line="288" w:lineRule="auto"/>
        <w:jc w:val="both"/>
        <w:rPr>
          <w:szCs w:val="24"/>
          <w:highlight w:val="yellow"/>
        </w:rPr>
      </w:pPr>
    </w:p>
    <w:p w:rsidR="0033637B" w:rsidRPr="00626E98" w:rsidRDefault="00E06A20" w:rsidP="00C12413">
      <w:pPr>
        <w:spacing w:line="288" w:lineRule="auto"/>
        <w:jc w:val="both"/>
        <w:rPr>
          <w:szCs w:val="24"/>
        </w:rPr>
      </w:pPr>
      <w:r w:rsidRPr="00626E98">
        <w:rPr>
          <w:szCs w:val="24"/>
        </w:rPr>
        <w:t xml:space="preserve">Zysk netto </w:t>
      </w:r>
      <w:r w:rsidR="0084338B">
        <w:rPr>
          <w:szCs w:val="24"/>
        </w:rPr>
        <w:t>G</w:t>
      </w:r>
      <w:r w:rsidR="0084338B" w:rsidRPr="00626E98">
        <w:rPr>
          <w:szCs w:val="24"/>
        </w:rPr>
        <w:t xml:space="preserve">rupy </w:t>
      </w:r>
      <w:r w:rsidRPr="00626E98">
        <w:rPr>
          <w:szCs w:val="24"/>
        </w:rPr>
        <w:t xml:space="preserve">Idea </w:t>
      </w:r>
      <w:r w:rsidR="00626E98" w:rsidRPr="00626E98">
        <w:rPr>
          <w:szCs w:val="24"/>
        </w:rPr>
        <w:t xml:space="preserve">Bank Białoruś na koniec 2013 roku wyniósł 45,3 mln PLN i był </w:t>
      </w:r>
      <w:r w:rsidR="00DC012D">
        <w:rPr>
          <w:szCs w:val="24"/>
        </w:rPr>
        <w:br/>
      </w:r>
      <w:r w:rsidR="00626E98" w:rsidRPr="00626E98">
        <w:rPr>
          <w:szCs w:val="24"/>
        </w:rPr>
        <w:t>o 32,5% wyższy w ujęciu rok do roku. Bank utrzymał wysoką, ponad 45</w:t>
      </w:r>
      <w:r w:rsidR="008F2323">
        <w:rPr>
          <w:szCs w:val="24"/>
        </w:rPr>
        <w:t>,8</w:t>
      </w:r>
      <w:r w:rsidR="00626E98" w:rsidRPr="00626E98">
        <w:rPr>
          <w:szCs w:val="24"/>
        </w:rPr>
        <w:t xml:space="preserve">% dynamikę sprzedaży kredytów gotówkowych i ratalnych. </w:t>
      </w:r>
      <w:r w:rsidR="008F2323">
        <w:rPr>
          <w:szCs w:val="24"/>
        </w:rPr>
        <w:t>Spółka</w:t>
      </w:r>
      <w:r w:rsidR="008F2323" w:rsidRPr="00626E98">
        <w:rPr>
          <w:szCs w:val="24"/>
        </w:rPr>
        <w:t xml:space="preserve"> </w:t>
      </w:r>
      <w:r w:rsidR="00626E98" w:rsidRPr="00626E98">
        <w:rPr>
          <w:szCs w:val="24"/>
        </w:rPr>
        <w:t>zakończył</w:t>
      </w:r>
      <w:r w:rsidR="008F2323">
        <w:rPr>
          <w:szCs w:val="24"/>
        </w:rPr>
        <w:t>a</w:t>
      </w:r>
      <w:r w:rsidR="00626E98" w:rsidRPr="00626E98">
        <w:rPr>
          <w:szCs w:val="24"/>
        </w:rPr>
        <w:t xml:space="preserve"> planowaną rozbudowę sieci sprzedaży, która na koniec roku obejmowała 77 mini oddziałów i 43 centra obsługi. ROE Grupy wyniosło 32,</w:t>
      </w:r>
      <w:r w:rsidR="0084338B">
        <w:rPr>
          <w:szCs w:val="24"/>
        </w:rPr>
        <w:t>7</w:t>
      </w:r>
      <w:r w:rsidR="00626E98" w:rsidRPr="00626E98">
        <w:rPr>
          <w:szCs w:val="24"/>
        </w:rPr>
        <w:t xml:space="preserve">%. </w:t>
      </w:r>
    </w:p>
    <w:p w:rsidR="0033637B" w:rsidRDefault="0033637B" w:rsidP="00C12413">
      <w:pPr>
        <w:spacing w:line="288" w:lineRule="auto"/>
        <w:jc w:val="both"/>
        <w:rPr>
          <w:szCs w:val="24"/>
          <w:highlight w:val="yellow"/>
        </w:rPr>
      </w:pPr>
    </w:p>
    <w:p w:rsidR="004377F1" w:rsidRPr="007215DA" w:rsidRDefault="00DC55D7" w:rsidP="00C12413">
      <w:pPr>
        <w:spacing w:line="288" w:lineRule="auto"/>
        <w:jc w:val="both"/>
        <w:rPr>
          <w:szCs w:val="24"/>
        </w:rPr>
      </w:pPr>
      <w:r w:rsidRPr="007215DA">
        <w:rPr>
          <w:szCs w:val="24"/>
        </w:rPr>
        <w:t>W ciągu dwunastu miesięcy 2013 roku</w:t>
      </w:r>
      <w:r w:rsidR="00971C99">
        <w:rPr>
          <w:szCs w:val="24"/>
        </w:rPr>
        <w:t xml:space="preserve"> </w:t>
      </w:r>
      <w:r w:rsidR="0084338B">
        <w:rPr>
          <w:szCs w:val="24"/>
        </w:rPr>
        <w:t xml:space="preserve">Grupa </w:t>
      </w:r>
      <w:r w:rsidR="007215DA">
        <w:rPr>
          <w:szCs w:val="24"/>
        </w:rPr>
        <w:t xml:space="preserve">Idea Bank Ukraina wypracowała zysk netto </w:t>
      </w:r>
      <w:r w:rsidR="00DC012D">
        <w:rPr>
          <w:szCs w:val="24"/>
        </w:rPr>
        <w:br/>
      </w:r>
      <w:r w:rsidR="007215DA">
        <w:rPr>
          <w:szCs w:val="24"/>
        </w:rPr>
        <w:t xml:space="preserve">w wysokości 36,1 mln PLN co jest wynikiem lepszym o 25,8% (r/r). </w:t>
      </w:r>
      <w:r w:rsidR="00517615">
        <w:rPr>
          <w:szCs w:val="24"/>
        </w:rPr>
        <w:t xml:space="preserve">Grupa </w:t>
      </w:r>
      <w:r w:rsidR="00F556FB">
        <w:rPr>
          <w:szCs w:val="24"/>
        </w:rPr>
        <w:t>znacząco</w:t>
      </w:r>
      <w:r w:rsidR="00FC20AB">
        <w:rPr>
          <w:szCs w:val="24"/>
        </w:rPr>
        <w:t xml:space="preserve"> zwiększyła swoją efektywność kosztową oraz</w:t>
      </w:r>
      <w:r w:rsidR="00971C99">
        <w:rPr>
          <w:szCs w:val="24"/>
        </w:rPr>
        <w:t xml:space="preserve"> utrzymała wysoką</w:t>
      </w:r>
      <w:r w:rsidR="00FC20AB">
        <w:rPr>
          <w:szCs w:val="24"/>
        </w:rPr>
        <w:t xml:space="preserve"> rentowność kapitału (ROE na poziomie 20,</w:t>
      </w:r>
      <w:r w:rsidR="008F2323">
        <w:rPr>
          <w:szCs w:val="24"/>
        </w:rPr>
        <w:t>3</w:t>
      </w:r>
      <w:r w:rsidR="00FC20AB">
        <w:rPr>
          <w:szCs w:val="24"/>
        </w:rPr>
        <w:t xml:space="preserve">%). </w:t>
      </w:r>
      <w:r w:rsidR="00CC1FA8">
        <w:rPr>
          <w:szCs w:val="24"/>
        </w:rPr>
        <w:t>Bank podwoił sprzedaż kredytów gotówkowych, która osiągnęła wartość 448,5 mln PLN, natomiast wartość sprzedaży ogółem wyniosła 731,5 mln PLN</w:t>
      </w:r>
      <w:r w:rsidR="009D60E3">
        <w:rPr>
          <w:szCs w:val="24"/>
        </w:rPr>
        <w:t xml:space="preserve"> (+50,5% r/r)</w:t>
      </w:r>
      <w:r w:rsidR="00CC1FA8">
        <w:rPr>
          <w:szCs w:val="24"/>
        </w:rPr>
        <w:t>.</w:t>
      </w:r>
    </w:p>
    <w:p w:rsidR="00836155" w:rsidRPr="005A17BE" w:rsidRDefault="00836155" w:rsidP="00C12413">
      <w:pPr>
        <w:spacing w:line="288" w:lineRule="auto"/>
        <w:jc w:val="both"/>
        <w:rPr>
          <w:szCs w:val="24"/>
        </w:rPr>
      </w:pPr>
    </w:p>
    <w:p w:rsidR="00A6378C" w:rsidRPr="00F90FE7" w:rsidRDefault="004A36A6" w:rsidP="00C12413">
      <w:pPr>
        <w:spacing w:line="288" w:lineRule="auto"/>
        <w:jc w:val="both"/>
        <w:rPr>
          <w:szCs w:val="24"/>
          <w:u w:val="single"/>
        </w:rPr>
      </w:pPr>
      <w:r w:rsidRPr="005A17BE">
        <w:rPr>
          <w:szCs w:val="24"/>
        </w:rPr>
        <w:t xml:space="preserve">Zapraszamy na wideokonferencję, na której </w:t>
      </w:r>
      <w:r w:rsidR="00C40858">
        <w:rPr>
          <w:szCs w:val="24"/>
        </w:rPr>
        <w:t>Prezes</w:t>
      </w:r>
      <w:r w:rsidRPr="005A17BE">
        <w:rPr>
          <w:szCs w:val="24"/>
        </w:rPr>
        <w:t xml:space="preserve"> Getin Holding, </w:t>
      </w:r>
      <w:r w:rsidR="00C40858">
        <w:rPr>
          <w:szCs w:val="24"/>
        </w:rPr>
        <w:t>Rafał Juszczak</w:t>
      </w:r>
      <w:r w:rsidRPr="005A17BE">
        <w:rPr>
          <w:szCs w:val="24"/>
        </w:rPr>
        <w:t xml:space="preserve">, przedstawi wyniki </w:t>
      </w:r>
      <w:r w:rsidR="009D60E3">
        <w:rPr>
          <w:szCs w:val="24"/>
        </w:rPr>
        <w:t xml:space="preserve">finansowe </w:t>
      </w:r>
      <w:r w:rsidRPr="005A17BE">
        <w:rPr>
          <w:szCs w:val="24"/>
        </w:rPr>
        <w:t xml:space="preserve">Grupy Kapitałowej </w:t>
      </w:r>
      <w:r w:rsidR="009D60E3">
        <w:rPr>
          <w:szCs w:val="24"/>
        </w:rPr>
        <w:t>za</w:t>
      </w:r>
      <w:r w:rsidR="00EB3BE6" w:rsidRPr="005A17BE">
        <w:rPr>
          <w:szCs w:val="24"/>
        </w:rPr>
        <w:t xml:space="preserve"> 2013 rok</w:t>
      </w:r>
      <w:r w:rsidR="00D13EC2" w:rsidRPr="005A17BE">
        <w:rPr>
          <w:szCs w:val="24"/>
        </w:rPr>
        <w:t>.</w:t>
      </w:r>
      <w:r w:rsidR="00F90FE7" w:rsidRPr="005A17BE">
        <w:rPr>
          <w:szCs w:val="24"/>
        </w:rPr>
        <w:t xml:space="preserve"> Wideokonferencja odbędzie się </w:t>
      </w:r>
      <w:r w:rsidR="00C40858">
        <w:rPr>
          <w:szCs w:val="24"/>
        </w:rPr>
        <w:t>19</w:t>
      </w:r>
      <w:r w:rsidR="00B5152A">
        <w:rPr>
          <w:szCs w:val="24"/>
        </w:rPr>
        <w:t xml:space="preserve"> </w:t>
      </w:r>
      <w:r w:rsidR="00C40858">
        <w:rPr>
          <w:szCs w:val="24"/>
        </w:rPr>
        <w:t>marca</w:t>
      </w:r>
      <w:r w:rsidR="00F0356E" w:rsidRPr="005A17BE">
        <w:rPr>
          <w:szCs w:val="24"/>
        </w:rPr>
        <w:t xml:space="preserve"> </w:t>
      </w:r>
      <w:r w:rsidR="00F90FE7" w:rsidRPr="005A17BE">
        <w:rPr>
          <w:szCs w:val="24"/>
        </w:rPr>
        <w:t>2013 roku o godzinie 1</w:t>
      </w:r>
      <w:r w:rsidR="00053D04" w:rsidRPr="005A17BE">
        <w:rPr>
          <w:szCs w:val="24"/>
        </w:rPr>
        <w:t>1</w:t>
      </w:r>
      <w:r w:rsidR="00F90FE7" w:rsidRPr="005A17BE">
        <w:rPr>
          <w:szCs w:val="24"/>
        </w:rPr>
        <w:t>.00</w:t>
      </w:r>
      <w:r w:rsidR="009D60E3">
        <w:rPr>
          <w:szCs w:val="24"/>
        </w:rPr>
        <w:t>, szczegóły na stronie spółki:</w:t>
      </w:r>
      <w:r w:rsidR="00F90FE7" w:rsidRPr="005A17BE">
        <w:rPr>
          <w:szCs w:val="24"/>
        </w:rPr>
        <w:t xml:space="preserve"> </w:t>
      </w:r>
      <w:hyperlink w:history="1">
        <w:r w:rsidR="009D60E3" w:rsidRPr="009D60E3">
          <w:rPr>
            <w:rStyle w:val="Hipercze"/>
            <w:szCs w:val="24"/>
          </w:rPr>
          <w:t>http://getin.pl</w:t>
        </w:r>
        <w:r w:rsidR="009D60E3" w:rsidRPr="009D60E3" w:rsidDel="009D60E3">
          <w:rPr>
            <w:rStyle w:val="Hipercze"/>
            <w:szCs w:val="24"/>
          </w:rPr>
          <w:t xml:space="preserve"> </w:t>
        </w:r>
      </w:hyperlink>
      <w:r w:rsidR="007C6829">
        <w:rPr>
          <w:szCs w:val="24"/>
        </w:rPr>
        <w:t xml:space="preserve"> </w:t>
      </w:r>
    </w:p>
    <w:p w:rsidR="005D44CB" w:rsidRPr="00826BD7" w:rsidRDefault="005D44CB" w:rsidP="00C12413">
      <w:pPr>
        <w:spacing w:line="288" w:lineRule="auto"/>
        <w:rPr>
          <w:szCs w:val="24"/>
        </w:rPr>
      </w:pPr>
    </w:p>
    <w:sectPr w:rsidR="005D44CB" w:rsidRPr="00826BD7" w:rsidSect="007927FF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9D9" w:rsidRDefault="00FC49D9" w:rsidP="0056615F">
      <w:r>
        <w:separator/>
      </w:r>
    </w:p>
  </w:endnote>
  <w:endnote w:type="continuationSeparator" w:id="0">
    <w:p w:rsidR="00FC49D9" w:rsidRDefault="00FC49D9" w:rsidP="0056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12" w:rsidRDefault="00307712">
    <w:pPr>
      <w:pStyle w:val="Stopka"/>
    </w:pPr>
    <w:r>
      <w:t xml:space="preserve">Kontakt: Wojciech Sury, Rzecznik Prasowy Getin Holding S.A., tel.: </w:t>
    </w:r>
    <w:r w:rsidRPr="007343E9">
      <w:t>669 707 394</w:t>
    </w:r>
    <w:r>
      <w:rPr>
        <w:rFonts w:ascii="Calibri" w:hAnsi="Calibri" w:cs="Calibri"/>
        <w:color w:val="000000"/>
        <w:sz w:val="22"/>
        <w:szCs w:val="22"/>
      </w:rPr>
      <w:t xml:space="preserve"> </w:t>
    </w:r>
    <w:r>
      <w:t>w.sury@getin.pl</w:t>
    </w:r>
  </w:p>
  <w:p w:rsidR="00307712" w:rsidRDefault="003077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9D9" w:rsidRDefault="00FC49D9" w:rsidP="0056615F">
      <w:r>
        <w:separator/>
      </w:r>
    </w:p>
  </w:footnote>
  <w:footnote w:type="continuationSeparator" w:id="0">
    <w:p w:rsidR="00FC49D9" w:rsidRDefault="00FC49D9" w:rsidP="00566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307712" w:rsidRPr="0056615F" w:rsidTr="00307712">
      <w:tc>
        <w:tcPr>
          <w:tcW w:w="4606" w:type="dxa"/>
        </w:tcPr>
        <w:p w:rsidR="00307712" w:rsidRPr="0056615F" w:rsidRDefault="00307712" w:rsidP="00307712">
          <w:pPr>
            <w:rPr>
              <w:rFonts w:ascii="Arial" w:hAnsi="Arial" w:cs="Arial"/>
              <w:sz w:val="16"/>
              <w:szCs w:val="16"/>
              <w:lang w:eastAsia="pl-PL"/>
            </w:rPr>
          </w:pPr>
          <w:r w:rsidRPr="0056615F">
            <w:rPr>
              <w:rFonts w:ascii="Arial" w:hAnsi="Arial" w:cs="Arial"/>
              <w:sz w:val="16"/>
              <w:szCs w:val="16"/>
              <w:lang w:eastAsia="pl-PL"/>
            </w:rPr>
            <w:t>Getin Holding S.A.</w:t>
          </w:r>
        </w:p>
        <w:p w:rsidR="00307712" w:rsidRPr="0056615F" w:rsidRDefault="00BC0D3D" w:rsidP="00307712">
          <w:pPr>
            <w:tabs>
              <w:tab w:val="center" w:pos="4680"/>
            </w:tabs>
            <w:rPr>
              <w:rFonts w:ascii="Arial" w:hAnsi="Arial" w:cs="Arial"/>
              <w:sz w:val="16"/>
              <w:szCs w:val="16"/>
              <w:lang w:eastAsia="pl-PL"/>
            </w:rPr>
          </w:pPr>
          <w:r w:rsidRPr="00BC0D3D">
            <w:rPr>
              <w:rFonts w:ascii="Arial" w:hAnsi="Arial" w:cs="Arial"/>
              <w:sz w:val="16"/>
              <w:szCs w:val="16"/>
              <w:lang w:eastAsia="pl-PL"/>
            </w:rPr>
            <w:t>ul. Gwiaździsta 66, 53-413 Wrocław</w:t>
          </w:r>
          <w:r w:rsidR="00307712" w:rsidRPr="0056615F">
            <w:rPr>
              <w:rFonts w:ascii="Arial" w:hAnsi="Arial" w:cs="Arial"/>
              <w:sz w:val="16"/>
              <w:szCs w:val="16"/>
              <w:lang w:eastAsia="pl-PL"/>
            </w:rPr>
            <w:tab/>
          </w:r>
        </w:p>
        <w:p w:rsidR="00307712" w:rsidRPr="0056615F" w:rsidRDefault="00307712" w:rsidP="00307712">
          <w:pPr>
            <w:rPr>
              <w:rFonts w:ascii="Arial" w:hAnsi="Arial" w:cs="Arial"/>
              <w:iCs/>
              <w:sz w:val="16"/>
              <w:szCs w:val="16"/>
              <w:lang w:eastAsia="pl-PL"/>
            </w:rPr>
          </w:pPr>
          <w:r w:rsidRPr="00BC0D3D">
            <w:rPr>
              <w:rFonts w:ascii="Arial" w:hAnsi="Arial" w:cs="Arial"/>
              <w:sz w:val="16"/>
              <w:szCs w:val="16"/>
              <w:lang w:eastAsia="pl-PL"/>
            </w:rPr>
            <w:t>Sąd Rejonowy we Wrocławiu VI Wydział</w:t>
          </w:r>
          <w:r w:rsidRPr="0056615F">
            <w:rPr>
              <w:rFonts w:ascii="Arial" w:hAnsi="Arial" w:cs="Arial"/>
              <w:iCs/>
              <w:sz w:val="16"/>
              <w:szCs w:val="16"/>
              <w:lang w:eastAsia="pl-PL"/>
            </w:rPr>
            <w:t xml:space="preserve"> Gospodarczy KRS, </w:t>
          </w:r>
        </w:p>
        <w:p w:rsidR="00697D10" w:rsidRDefault="00307712" w:rsidP="007927FF">
          <w:pPr>
            <w:rPr>
              <w:rFonts w:ascii="Arial" w:hAnsi="Arial" w:cs="Arial"/>
              <w:iCs/>
              <w:sz w:val="16"/>
              <w:szCs w:val="16"/>
              <w:lang w:val="en-US" w:eastAsia="pl-PL"/>
            </w:rPr>
          </w:pPr>
          <w:r w:rsidRPr="0056615F">
            <w:rPr>
              <w:rFonts w:ascii="Arial" w:hAnsi="Arial" w:cs="Arial"/>
              <w:iCs/>
              <w:sz w:val="16"/>
              <w:szCs w:val="16"/>
              <w:lang w:val="en-US" w:eastAsia="pl-PL"/>
            </w:rPr>
            <w:t>KRS 0000004335</w:t>
          </w:r>
        </w:p>
        <w:p w:rsidR="00307712" w:rsidRPr="007927FF" w:rsidRDefault="00307712" w:rsidP="007927FF">
          <w:pPr>
            <w:rPr>
              <w:rFonts w:ascii="Arial" w:hAnsi="Arial" w:cs="Arial"/>
              <w:iCs/>
              <w:sz w:val="16"/>
              <w:szCs w:val="16"/>
              <w:lang w:val="en-US" w:eastAsia="pl-PL"/>
            </w:rPr>
          </w:pPr>
          <w:r w:rsidRPr="007927FF">
            <w:rPr>
              <w:rFonts w:ascii="Arial" w:hAnsi="Arial" w:cs="Arial"/>
              <w:iCs/>
              <w:sz w:val="16"/>
              <w:szCs w:val="16"/>
              <w:lang w:val="en-US" w:eastAsia="pl-PL"/>
            </w:rPr>
            <w:t>NIP 895-16-94-236</w:t>
          </w:r>
        </w:p>
        <w:p w:rsidR="00307712" w:rsidRPr="0056615F" w:rsidRDefault="00FC49D9" w:rsidP="00307712">
          <w:pPr>
            <w:autoSpaceDE w:val="0"/>
            <w:autoSpaceDN w:val="0"/>
            <w:adjustRightInd w:val="0"/>
            <w:rPr>
              <w:rFonts w:ascii="Arial" w:hAnsi="Arial" w:cs="Arial"/>
              <w:sz w:val="16"/>
              <w:szCs w:val="16"/>
              <w:lang w:eastAsia="pl-PL"/>
            </w:rPr>
          </w:pPr>
          <w:hyperlink r:id="rId1" w:history="1">
            <w:r w:rsidR="00307712" w:rsidRPr="0056615F">
              <w:rPr>
                <w:rStyle w:val="Hipercze"/>
                <w:rFonts w:ascii="Arial" w:hAnsi="Arial" w:cs="Arial"/>
                <w:sz w:val="16"/>
                <w:szCs w:val="16"/>
                <w:lang w:eastAsia="pl-PL"/>
              </w:rPr>
              <w:t>www.getinholding.pl</w:t>
            </w:r>
          </w:hyperlink>
        </w:p>
        <w:p w:rsidR="00307712" w:rsidRPr="0056615F" w:rsidRDefault="00307712" w:rsidP="00307712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606" w:type="dxa"/>
        </w:tcPr>
        <w:p w:rsidR="00307712" w:rsidRPr="0056615F" w:rsidRDefault="00307712" w:rsidP="00307712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56615F"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1853514" cy="857250"/>
                <wp:effectExtent l="0" t="0" r="0" b="0"/>
                <wp:docPr id="1" name="Obraz 1" descr="D:\Users\mbninska\AppData\Local\Microsoft\Windows\Temporary Internet Files\Content.Outlook\MKPGDX0W\_hold_zna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mbninska\AppData\Local\Microsoft\Windows\Temporary Internet Files\Content.Outlook\MKPGDX0W\_hold_zna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3514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07712" w:rsidRDefault="003077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5F"/>
    <w:rsid w:val="0000058A"/>
    <w:rsid w:val="0000199E"/>
    <w:rsid w:val="000052C8"/>
    <w:rsid w:val="00010AE0"/>
    <w:rsid w:val="00011AC8"/>
    <w:rsid w:val="00016825"/>
    <w:rsid w:val="0002165D"/>
    <w:rsid w:val="0002167F"/>
    <w:rsid w:val="00024FF2"/>
    <w:rsid w:val="00044471"/>
    <w:rsid w:val="00053D04"/>
    <w:rsid w:val="00060413"/>
    <w:rsid w:val="00066622"/>
    <w:rsid w:val="0007153F"/>
    <w:rsid w:val="00085FAC"/>
    <w:rsid w:val="0009743A"/>
    <w:rsid w:val="000A140C"/>
    <w:rsid w:val="000A1837"/>
    <w:rsid w:val="000A35C3"/>
    <w:rsid w:val="000B0531"/>
    <w:rsid w:val="000B4417"/>
    <w:rsid w:val="000C60C6"/>
    <w:rsid w:val="000C7C47"/>
    <w:rsid w:val="000D6129"/>
    <w:rsid w:val="000D6927"/>
    <w:rsid w:val="000E1A40"/>
    <w:rsid w:val="000E5C4E"/>
    <w:rsid w:val="000E75C9"/>
    <w:rsid w:val="000F2DDC"/>
    <w:rsid w:val="000F3419"/>
    <w:rsid w:val="000F73F1"/>
    <w:rsid w:val="00102C83"/>
    <w:rsid w:val="00106139"/>
    <w:rsid w:val="00111228"/>
    <w:rsid w:val="0013265A"/>
    <w:rsid w:val="00136061"/>
    <w:rsid w:val="00142BC2"/>
    <w:rsid w:val="00144A40"/>
    <w:rsid w:val="00146F18"/>
    <w:rsid w:val="001604B0"/>
    <w:rsid w:val="00166696"/>
    <w:rsid w:val="001731E8"/>
    <w:rsid w:val="001739CB"/>
    <w:rsid w:val="00176B34"/>
    <w:rsid w:val="00177F74"/>
    <w:rsid w:val="00185186"/>
    <w:rsid w:val="00196500"/>
    <w:rsid w:val="001A3FD4"/>
    <w:rsid w:val="001B6EB8"/>
    <w:rsid w:val="001C0E0E"/>
    <w:rsid w:val="001C36BE"/>
    <w:rsid w:val="001C37B1"/>
    <w:rsid w:val="001C73A2"/>
    <w:rsid w:val="001D00BE"/>
    <w:rsid w:val="001D15D8"/>
    <w:rsid w:val="001D270D"/>
    <w:rsid w:val="001D55BE"/>
    <w:rsid w:val="001E3E29"/>
    <w:rsid w:val="001E4DDF"/>
    <w:rsid w:val="001E51F1"/>
    <w:rsid w:val="001E7F19"/>
    <w:rsid w:val="001F0528"/>
    <w:rsid w:val="001F0720"/>
    <w:rsid w:val="001F4FA9"/>
    <w:rsid w:val="001F70BD"/>
    <w:rsid w:val="00207E05"/>
    <w:rsid w:val="002112FE"/>
    <w:rsid w:val="00214C2A"/>
    <w:rsid w:val="00216651"/>
    <w:rsid w:val="00224CFE"/>
    <w:rsid w:val="00234EAB"/>
    <w:rsid w:val="0023554A"/>
    <w:rsid w:val="002405AC"/>
    <w:rsid w:val="00246D94"/>
    <w:rsid w:val="00252C49"/>
    <w:rsid w:val="002624A7"/>
    <w:rsid w:val="00272F26"/>
    <w:rsid w:val="0028264B"/>
    <w:rsid w:val="00285AAD"/>
    <w:rsid w:val="00294705"/>
    <w:rsid w:val="0029680D"/>
    <w:rsid w:val="002A16E8"/>
    <w:rsid w:val="002A46AC"/>
    <w:rsid w:val="002B110E"/>
    <w:rsid w:val="002C2889"/>
    <w:rsid w:val="002C4418"/>
    <w:rsid w:val="002D03B6"/>
    <w:rsid w:val="002D467B"/>
    <w:rsid w:val="002D6F6D"/>
    <w:rsid w:val="002E2F3D"/>
    <w:rsid w:val="002E56D1"/>
    <w:rsid w:val="002E5F3D"/>
    <w:rsid w:val="002E608D"/>
    <w:rsid w:val="002E70C7"/>
    <w:rsid w:val="002F5B12"/>
    <w:rsid w:val="002F74C0"/>
    <w:rsid w:val="00300483"/>
    <w:rsid w:val="003071D3"/>
    <w:rsid w:val="00307712"/>
    <w:rsid w:val="00310364"/>
    <w:rsid w:val="00314496"/>
    <w:rsid w:val="0032144B"/>
    <w:rsid w:val="003273CD"/>
    <w:rsid w:val="003304F7"/>
    <w:rsid w:val="00330D53"/>
    <w:rsid w:val="00331252"/>
    <w:rsid w:val="0033637B"/>
    <w:rsid w:val="00345F59"/>
    <w:rsid w:val="0035116F"/>
    <w:rsid w:val="003526A7"/>
    <w:rsid w:val="00354006"/>
    <w:rsid w:val="003576F8"/>
    <w:rsid w:val="00357971"/>
    <w:rsid w:val="0036149A"/>
    <w:rsid w:val="0036208F"/>
    <w:rsid w:val="00364C0A"/>
    <w:rsid w:val="00367946"/>
    <w:rsid w:val="00373004"/>
    <w:rsid w:val="0037679B"/>
    <w:rsid w:val="00377182"/>
    <w:rsid w:val="003853F3"/>
    <w:rsid w:val="00385A2E"/>
    <w:rsid w:val="0039500A"/>
    <w:rsid w:val="003A0452"/>
    <w:rsid w:val="003B2D5C"/>
    <w:rsid w:val="003C0341"/>
    <w:rsid w:val="003C5F9D"/>
    <w:rsid w:val="003C6F14"/>
    <w:rsid w:val="003D46A8"/>
    <w:rsid w:val="003E56AE"/>
    <w:rsid w:val="003E7053"/>
    <w:rsid w:val="003E7B8E"/>
    <w:rsid w:val="003F3804"/>
    <w:rsid w:val="003F6939"/>
    <w:rsid w:val="00420AD4"/>
    <w:rsid w:val="004334C8"/>
    <w:rsid w:val="004377F1"/>
    <w:rsid w:val="0044014E"/>
    <w:rsid w:val="00442112"/>
    <w:rsid w:val="00444F3C"/>
    <w:rsid w:val="0044547B"/>
    <w:rsid w:val="00447BBA"/>
    <w:rsid w:val="00463B7F"/>
    <w:rsid w:val="004667A1"/>
    <w:rsid w:val="00477F7E"/>
    <w:rsid w:val="004828B9"/>
    <w:rsid w:val="00485F97"/>
    <w:rsid w:val="00492FC3"/>
    <w:rsid w:val="004960EA"/>
    <w:rsid w:val="004972D5"/>
    <w:rsid w:val="004A08E2"/>
    <w:rsid w:val="004A36A6"/>
    <w:rsid w:val="004A3B53"/>
    <w:rsid w:val="004A7CD3"/>
    <w:rsid w:val="004B0BEC"/>
    <w:rsid w:val="004B35E1"/>
    <w:rsid w:val="004B47CF"/>
    <w:rsid w:val="004B6D8E"/>
    <w:rsid w:val="004C0B7F"/>
    <w:rsid w:val="004C16A9"/>
    <w:rsid w:val="004C2E14"/>
    <w:rsid w:val="004C3F61"/>
    <w:rsid w:val="004D1098"/>
    <w:rsid w:val="004D27A0"/>
    <w:rsid w:val="004D64C0"/>
    <w:rsid w:val="004D6E51"/>
    <w:rsid w:val="004E0DF1"/>
    <w:rsid w:val="004E10C5"/>
    <w:rsid w:val="004F0D84"/>
    <w:rsid w:val="004F5425"/>
    <w:rsid w:val="00503D5B"/>
    <w:rsid w:val="005155CF"/>
    <w:rsid w:val="00517615"/>
    <w:rsid w:val="00521355"/>
    <w:rsid w:val="00522428"/>
    <w:rsid w:val="00531FB0"/>
    <w:rsid w:val="00534A1C"/>
    <w:rsid w:val="00537AF0"/>
    <w:rsid w:val="00551BBB"/>
    <w:rsid w:val="0055213E"/>
    <w:rsid w:val="0055713F"/>
    <w:rsid w:val="005613F1"/>
    <w:rsid w:val="00563FA4"/>
    <w:rsid w:val="0056615F"/>
    <w:rsid w:val="005728B5"/>
    <w:rsid w:val="005812BD"/>
    <w:rsid w:val="00582959"/>
    <w:rsid w:val="005833DD"/>
    <w:rsid w:val="0058491D"/>
    <w:rsid w:val="00585058"/>
    <w:rsid w:val="005930B1"/>
    <w:rsid w:val="005961E5"/>
    <w:rsid w:val="00597CF6"/>
    <w:rsid w:val="00597DA2"/>
    <w:rsid w:val="005A120D"/>
    <w:rsid w:val="005A17BE"/>
    <w:rsid w:val="005A56F0"/>
    <w:rsid w:val="005B18EF"/>
    <w:rsid w:val="005B32DC"/>
    <w:rsid w:val="005B7B3E"/>
    <w:rsid w:val="005D44CB"/>
    <w:rsid w:val="005D4AC5"/>
    <w:rsid w:val="005E318C"/>
    <w:rsid w:val="005E3B04"/>
    <w:rsid w:val="005F1625"/>
    <w:rsid w:val="005F28D9"/>
    <w:rsid w:val="005F5CD6"/>
    <w:rsid w:val="00604E65"/>
    <w:rsid w:val="0062185C"/>
    <w:rsid w:val="0062417C"/>
    <w:rsid w:val="00626E98"/>
    <w:rsid w:val="00631A45"/>
    <w:rsid w:val="00633F4E"/>
    <w:rsid w:val="00634536"/>
    <w:rsid w:val="00635A65"/>
    <w:rsid w:val="0063664E"/>
    <w:rsid w:val="006376FC"/>
    <w:rsid w:val="00640541"/>
    <w:rsid w:val="00650B1D"/>
    <w:rsid w:val="00660A2A"/>
    <w:rsid w:val="006638B4"/>
    <w:rsid w:val="00663C5E"/>
    <w:rsid w:val="00666082"/>
    <w:rsid w:val="00673050"/>
    <w:rsid w:val="00673466"/>
    <w:rsid w:val="006872FD"/>
    <w:rsid w:val="006901A3"/>
    <w:rsid w:val="00697D10"/>
    <w:rsid w:val="006A2747"/>
    <w:rsid w:val="006A7630"/>
    <w:rsid w:val="006C024D"/>
    <w:rsid w:val="006C508C"/>
    <w:rsid w:val="006C6E92"/>
    <w:rsid w:val="006D73EA"/>
    <w:rsid w:val="006E3E9B"/>
    <w:rsid w:val="006E4407"/>
    <w:rsid w:val="006F4892"/>
    <w:rsid w:val="0070410A"/>
    <w:rsid w:val="007110A0"/>
    <w:rsid w:val="00715F62"/>
    <w:rsid w:val="00716F24"/>
    <w:rsid w:val="0072007E"/>
    <w:rsid w:val="00720C28"/>
    <w:rsid w:val="00720E6C"/>
    <w:rsid w:val="007215DA"/>
    <w:rsid w:val="007343E9"/>
    <w:rsid w:val="00737FBB"/>
    <w:rsid w:val="00742AA5"/>
    <w:rsid w:val="00746875"/>
    <w:rsid w:val="007527F8"/>
    <w:rsid w:val="00756CDE"/>
    <w:rsid w:val="0076703A"/>
    <w:rsid w:val="0077710B"/>
    <w:rsid w:val="007927FF"/>
    <w:rsid w:val="0079763F"/>
    <w:rsid w:val="0079776F"/>
    <w:rsid w:val="007A527E"/>
    <w:rsid w:val="007B5B91"/>
    <w:rsid w:val="007C6829"/>
    <w:rsid w:val="007D28D3"/>
    <w:rsid w:val="007D35FD"/>
    <w:rsid w:val="007D614F"/>
    <w:rsid w:val="007D7398"/>
    <w:rsid w:val="007E3087"/>
    <w:rsid w:val="007F28CD"/>
    <w:rsid w:val="007F414E"/>
    <w:rsid w:val="007F527D"/>
    <w:rsid w:val="008032EC"/>
    <w:rsid w:val="00810ED0"/>
    <w:rsid w:val="0081100A"/>
    <w:rsid w:val="0081192F"/>
    <w:rsid w:val="008155BE"/>
    <w:rsid w:val="0082158F"/>
    <w:rsid w:val="00826BD7"/>
    <w:rsid w:val="008276FF"/>
    <w:rsid w:val="00830279"/>
    <w:rsid w:val="0083122F"/>
    <w:rsid w:val="00831849"/>
    <w:rsid w:val="00832527"/>
    <w:rsid w:val="00836155"/>
    <w:rsid w:val="00841538"/>
    <w:rsid w:val="0084338B"/>
    <w:rsid w:val="00851733"/>
    <w:rsid w:val="00852535"/>
    <w:rsid w:val="008525A0"/>
    <w:rsid w:val="00853D0F"/>
    <w:rsid w:val="00857F1D"/>
    <w:rsid w:val="00867B66"/>
    <w:rsid w:val="008705F5"/>
    <w:rsid w:val="00874F86"/>
    <w:rsid w:val="00875028"/>
    <w:rsid w:val="00875B1C"/>
    <w:rsid w:val="008869C9"/>
    <w:rsid w:val="00890345"/>
    <w:rsid w:val="00893AFE"/>
    <w:rsid w:val="008A5DCB"/>
    <w:rsid w:val="008B0806"/>
    <w:rsid w:val="008B14EC"/>
    <w:rsid w:val="008B54E7"/>
    <w:rsid w:val="008B793A"/>
    <w:rsid w:val="008C3EC0"/>
    <w:rsid w:val="008C66A0"/>
    <w:rsid w:val="008D31D3"/>
    <w:rsid w:val="008E0C97"/>
    <w:rsid w:val="008E13B3"/>
    <w:rsid w:val="008E2682"/>
    <w:rsid w:val="008F0C82"/>
    <w:rsid w:val="008F2323"/>
    <w:rsid w:val="008F2B8E"/>
    <w:rsid w:val="00903DD6"/>
    <w:rsid w:val="00912101"/>
    <w:rsid w:val="00926AB0"/>
    <w:rsid w:val="0094341F"/>
    <w:rsid w:val="00950AE1"/>
    <w:rsid w:val="00961446"/>
    <w:rsid w:val="00971C99"/>
    <w:rsid w:val="00977221"/>
    <w:rsid w:val="00977F94"/>
    <w:rsid w:val="009827B8"/>
    <w:rsid w:val="00982CB6"/>
    <w:rsid w:val="00986C04"/>
    <w:rsid w:val="009936CE"/>
    <w:rsid w:val="009A1B1D"/>
    <w:rsid w:val="009A4C6D"/>
    <w:rsid w:val="009B39E3"/>
    <w:rsid w:val="009C62A0"/>
    <w:rsid w:val="009D132A"/>
    <w:rsid w:val="009D3826"/>
    <w:rsid w:val="009D60E3"/>
    <w:rsid w:val="009F4DCB"/>
    <w:rsid w:val="009F7E87"/>
    <w:rsid w:val="00A03EA7"/>
    <w:rsid w:val="00A04AFF"/>
    <w:rsid w:val="00A05F3E"/>
    <w:rsid w:val="00A06460"/>
    <w:rsid w:val="00A07FEA"/>
    <w:rsid w:val="00A13C58"/>
    <w:rsid w:val="00A25856"/>
    <w:rsid w:val="00A27EEA"/>
    <w:rsid w:val="00A30CFF"/>
    <w:rsid w:val="00A34DB6"/>
    <w:rsid w:val="00A40243"/>
    <w:rsid w:val="00A415B1"/>
    <w:rsid w:val="00A4179B"/>
    <w:rsid w:val="00A4595E"/>
    <w:rsid w:val="00A50BA7"/>
    <w:rsid w:val="00A573DE"/>
    <w:rsid w:val="00A57A56"/>
    <w:rsid w:val="00A633B3"/>
    <w:rsid w:val="00A6378C"/>
    <w:rsid w:val="00A75DF2"/>
    <w:rsid w:val="00A87472"/>
    <w:rsid w:val="00A94D54"/>
    <w:rsid w:val="00AA230B"/>
    <w:rsid w:val="00AA777A"/>
    <w:rsid w:val="00AB073C"/>
    <w:rsid w:val="00AB2DFC"/>
    <w:rsid w:val="00AC4DCD"/>
    <w:rsid w:val="00AC5B57"/>
    <w:rsid w:val="00AD2296"/>
    <w:rsid w:val="00AD4110"/>
    <w:rsid w:val="00AD4ED2"/>
    <w:rsid w:val="00AD537F"/>
    <w:rsid w:val="00AE3CFF"/>
    <w:rsid w:val="00AF4580"/>
    <w:rsid w:val="00B048E5"/>
    <w:rsid w:val="00B04F43"/>
    <w:rsid w:val="00B1742A"/>
    <w:rsid w:val="00B42FC1"/>
    <w:rsid w:val="00B5152A"/>
    <w:rsid w:val="00B527B1"/>
    <w:rsid w:val="00B52967"/>
    <w:rsid w:val="00B6038D"/>
    <w:rsid w:val="00B60F45"/>
    <w:rsid w:val="00B708D8"/>
    <w:rsid w:val="00B949D7"/>
    <w:rsid w:val="00BA2092"/>
    <w:rsid w:val="00BA4B42"/>
    <w:rsid w:val="00BA7580"/>
    <w:rsid w:val="00BB1130"/>
    <w:rsid w:val="00BB5186"/>
    <w:rsid w:val="00BB5790"/>
    <w:rsid w:val="00BB68AF"/>
    <w:rsid w:val="00BC0D3D"/>
    <w:rsid w:val="00BC1F4F"/>
    <w:rsid w:val="00BC2513"/>
    <w:rsid w:val="00BC3559"/>
    <w:rsid w:val="00BD260A"/>
    <w:rsid w:val="00BE25E5"/>
    <w:rsid w:val="00BF67EB"/>
    <w:rsid w:val="00BF73E8"/>
    <w:rsid w:val="00C00170"/>
    <w:rsid w:val="00C00F21"/>
    <w:rsid w:val="00C037E5"/>
    <w:rsid w:val="00C11FD4"/>
    <w:rsid w:val="00C12413"/>
    <w:rsid w:val="00C266FF"/>
    <w:rsid w:val="00C32730"/>
    <w:rsid w:val="00C3419C"/>
    <w:rsid w:val="00C35D59"/>
    <w:rsid w:val="00C40036"/>
    <w:rsid w:val="00C4072D"/>
    <w:rsid w:val="00C40858"/>
    <w:rsid w:val="00C44000"/>
    <w:rsid w:val="00C506BD"/>
    <w:rsid w:val="00C52542"/>
    <w:rsid w:val="00C648B6"/>
    <w:rsid w:val="00C660B9"/>
    <w:rsid w:val="00C75516"/>
    <w:rsid w:val="00C8131B"/>
    <w:rsid w:val="00C8465E"/>
    <w:rsid w:val="00C8697E"/>
    <w:rsid w:val="00C86D91"/>
    <w:rsid w:val="00C92820"/>
    <w:rsid w:val="00C94637"/>
    <w:rsid w:val="00C948D8"/>
    <w:rsid w:val="00C9719B"/>
    <w:rsid w:val="00C97CF1"/>
    <w:rsid w:val="00CA56B6"/>
    <w:rsid w:val="00CB1014"/>
    <w:rsid w:val="00CB72FA"/>
    <w:rsid w:val="00CC066C"/>
    <w:rsid w:val="00CC1FA8"/>
    <w:rsid w:val="00CC33D6"/>
    <w:rsid w:val="00CC65C7"/>
    <w:rsid w:val="00CD0023"/>
    <w:rsid w:val="00CD3543"/>
    <w:rsid w:val="00CD5C82"/>
    <w:rsid w:val="00CD5FE3"/>
    <w:rsid w:val="00CD7336"/>
    <w:rsid w:val="00CE18EE"/>
    <w:rsid w:val="00CE3A87"/>
    <w:rsid w:val="00CE551E"/>
    <w:rsid w:val="00CE5C73"/>
    <w:rsid w:val="00CE718B"/>
    <w:rsid w:val="00CF0601"/>
    <w:rsid w:val="00CF218A"/>
    <w:rsid w:val="00CF3653"/>
    <w:rsid w:val="00D05EE5"/>
    <w:rsid w:val="00D076C2"/>
    <w:rsid w:val="00D122BB"/>
    <w:rsid w:val="00D13EC2"/>
    <w:rsid w:val="00D21200"/>
    <w:rsid w:val="00D31E9A"/>
    <w:rsid w:val="00D31FE7"/>
    <w:rsid w:val="00D32626"/>
    <w:rsid w:val="00D33848"/>
    <w:rsid w:val="00D34A26"/>
    <w:rsid w:val="00D34A87"/>
    <w:rsid w:val="00D36264"/>
    <w:rsid w:val="00D5186D"/>
    <w:rsid w:val="00D51F45"/>
    <w:rsid w:val="00D55288"/>
    <w:rsid w:val="00D61B6D"/>
    <w:rsid w:val="00D6479A"/>
    <w:rsid w:val="00D64D09"/>
    <w:rsid w:val="00D71167"/>
    <w:rsid w:val="00D72AF8"/>
    <w:rsid w:val="00D73D44"/>
    <w:rsid w:val="00D75312"/>
    <w:rsid w:val="00D81196"/>
    <w:rsid w:val="00D813EF"/>
    <w:rsid w:val="00D83258"/>
    <w:rsid w:val="00D84B4C"/>
    <w:rsid w:val="00DA0873"/>
    <w:rsid w:val="00DA0F9B"/>
    <w:rsid w:val="00DA1E00"/>
    <w:rsid w:val="00DA29D9"/>
    <w:rsid w:val="00DA503E"/>
    <w:rsid w:val="00DA73A3"/>
    <w:rsid w:val="00DB3BEB"/>
    <w:rsid w:val="00DC012D"/>
    <w:rsid w:val="00DC4604"/>
    <w:rsid w:val="00DC55D7"/>
    <w:rsid w:val="00DC5C39"/>
    <w:rsid w:val="00DD3B78"/>
    <w:rsid w:val="00DD5ABA"/>
    <w:rsid w:val="00DD66BD"/>
    <w:rsid w:val="00DD7AC5"/>
    <w:rsid w:val="00DE047F"/>
    <w:rsid w:val="00DE6323"/>
    <w:rsid w:val="00DF0419"/>
    <w:rsid w:val="00DF14BB"/>
    <w:rsid w:val="00DF1E8D"/>
    <w:rsid w:val="00DF248D"/>
    <w:rsid w:val="00DF28B4"/>
    <w:rsid w:val="00E06A20"/>
    <w:rsid w:val="00E0702F"/>
    <w:rsid w:val="00E124EB"/>
    <w:rsid w:val="00E126DF"/>
    <w:rsid w:val="00E166D0"/>
    <w:rsid w:val="00E2011D"/>
    <w:rsid w:val="00E229DB"/>
    <w:rsid w:val="00E341CD"/>
    <w:rsid w:val="00E52096"/>
    <w:rsid w:val="00E546D5"/>
    <w:rsid w:val="00E57D98"/>
    <w:rsid w:val="00E6016A"/>
    <w:rsid w:val="00E70A54"/>
    <w:rsid w:val="00E73ABD"/>
    <w:rsid w:val="00E8518F"/>
    <w:rsid w:val="00E918D0"/>
    <w:rsid w:val="00E96E55"/>
    <w:rsid w:val="00EA4A31"/>
    <w:rsid w:val="00EB2C8E"/>
    <w:rsid w:val="00EB3BE6"/>
    <w:rsid w:val="00EB5140"/>
    <w:rsid w:val="00EC76B9"/>
    <w:rsid w:val="00ED04C7"/>
    <w:rsid w:val="00ED1B70"/>
    <w:rsid w:val="00ED5891"/>
    <w:rsid w:val="00EE53E3"/>
    <w:rsid w:val="00EF5332"/>
    <w:rsid w:val="00F023A8"/>
    <w:rsid w:val="00F0356E"/>
    <w:rsid w:val="00F13B26"/>
    <w:rsid w:val="00F1417F"/>
    <w:rsid w:val="00F1444E"/>
    <w:rsid w:val="00F15557"/>
    <w:rsid w:val="00F20C14"/>
    <w:rsid w:val="00F326E4"/>
    <w:rsid w:val="00F344BC"/>
    <w:rsid w:val="00F429C1"/>
    <w:rsid w:val="00F45583"/>
    <w:rsid w:val="00F458B9"/>
    <w:rsid w:val="00F45E83"/>
    <w:rsid w:val="00F52A42"/>
    <w:rsid w:val="00F5404F"/>
    <w:rsid w:val="00F556FB"/>
    <w:rsid w:val="00F62F17"/>
    <w:rsid w:val="00F63B64"/>
    <w:rsid w:val="00F72AD4"/>
    <w:rsid w:val="00F7300E"/>
    <w:rsid w:val="00F834A0"/>
    <w:rsid w:val="00F83F64"/>
    <w:rsid w:val="00F90CEA"/>
    <w:rsid w:val="00F90FE7"/>
    <w:rsid w:val="00F930FB"/>
    <w:rsid w:val="00F97CF4"/>
    <w:rsid w:val="00FB1EFE"/>
    <w:rsid w:val="00FB5B6B"/>
    <w:rsid w:val="00FB778A"/>
    <w:rsid w:val="00FC20AB"/>
    <w:rsid w:val="00FC2DC6"/>
    <w:rsid w:val="00FC4597"/>
    <w:rsid w:val="00FC49D9"/>
    <w:rsid w:val="00FC5E82"/>
    <w:rsid w:val="00FD13B4"/>
    <w:rsid w:val="00FE3093"/>
    <w:rsid w:val="00FE3894"/>
    <w:rsid w:val="00FE3B4C"/>
    <w:rsid w:val="00FE5016"/>
    <w:rsid w:val="00FE66FD"/>
    <w:rsid w:val="00FE67D4"/>
    <w:rsid w:val="00FF01E1"/>
    <w:rsid w:val="00FF18D9"/>
    <w:rsid w:val="00FF1914"/>
    <w:rsid w:val="00FF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1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5661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1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15F"/>
    <w:rPr>
      <w:rFonts w:ascii="Tahoma" w:eastAsia="Times New Roman" w:hAnsi="Tahoma" w:cs="Tahoma"/>
      <w:spacing w:val="-25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1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615F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66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15F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8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83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E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E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E5F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E5C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1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6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5661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1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15F"/>
    <w:rPr>
      <w:rFonts w:ascii="Tahoma" w:eastAsia="Times New Roman" w:hAnsi="Tahoma" w:cs="Tahoma"/>
      <w:spacing w:val="-25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61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615F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66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15F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E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E8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E83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E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E8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E5F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E5C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etinhold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0BC12-436F-419F-B5A2-8934FA98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Getin Holding S.A.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Bnińska Maria</dc:creator>
  <cp:lastModifiedBy>Newecki Artur BPR Warszawa</cp:lastModifiedBy>
  <cp:revision>2</cp:revision>
  <cp:lastPrinted>2014-03-14T13:06:00Z</cp:lastPrinted>
  <dcterms:created xsi:type="dcterms:W3CDTF">2014-03-18T09:35:00Z</dcterms:created>
  <dcterms:modified xsi:type="dcterms:W3CDTF">2014-03-18T09:35:00Z</dcterms:modified>
</cp:coreProperties>
</file>