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29" w:rsidRDefault="004A36A6" w:rsidP="00DE398C">
      <w:pPr>
        <w:spacing w:line="312" w:lineRule="auto"/>
        <w:jc w:val="right"/>
        <w:rPr>
          <w:szCs w:val="24"/>
        </w:rPr>
      </w:pPr>
      <w:r w:rsidRPr="00DE398C">
        <w:rPr>
          <w:szCs w:val="24"/>
        </w:rPr>
        <w:tab/>
      </w:r>
      <w:r w:rsidRPr="00DE398C">
        <w:rPr>
          <w:szCs w:val="24"/>
        </w:rPr>
        <w:tab/>
      </w:r>
      <w:r w:rsidRPr="00DE398C">
        <w:rPr>
          <w:szCs w:val="24"/>
        </w:rPr>
        <w:tab/>
      </w:r>
      <w:r w:rsidRPr="00DE398C">
        <w:rPr>
          <w:szCs w:val="24"/>
        </w:rPr>
        <w:tab/>
      </w:r>
    </w:p>
    <w:p w:rsidR="00831849" w:rsidRPr="00DE398C" w:rsidRDefault="004A36A6" w:rsidP="00DE398C">
      <w:pPr>
        <w:spacing w:line="312" w:lineRule="auto"/>
        <w:jc w:val="right"/>
        <w:rPr>
          <w:szCs w:val="24"/>
        </w:rPr>
      </w:pPr>
      <w:r w:rsidRPr="00DE398C">
        <w:rPr>
          <w:szCs w:val="24"/>
        </w:rPr>
        <w:t>Warszawa,</w:t>
      </w:r>
      <w:r w:rsidR="00EB3BE6" w:rsidRPr="00DE398C">
        <w:rPr>
          <w:szCs w:val="24"/>
        </w:rPr>
        <w:t xml:space="preserve"> </w:t>
      </w:r>
      <w:r w:rsidR="00EB0262">
        <w:rPr>
          <w:szCs w:val="24"/>
        </w:rPr>
        <w:t>4</w:t>
      </w:r>
      <w:r w:rsidR="007C6829" w:rsidRPr="00DE398C">
        <w:rPr>
          <w:szCs w:val="24"/>
        </w:rPr>
        <w:t xml:space="preserve"> </w:t>
      </w:r>
      <w:r w:rsidR="00EB0262">
        <w:rPr>
          <w:szCs w:val="24"/>
        </w:rPr>
        <w:t>listopada</w:t>
      </w:r>
      <w:r w:rsidR="007C6829" w:rsidRPr="00DE398C">
        <w:rPr>
          <w:szCs w:val="24"/>
        </w:rPr>
        <w:t xml:space="preserve"> </w:t>
      </w:r>
      <w:r w:rsidRPr="00DE398C">
        <w:rPr>
          <w:szCs w:val="24"/>
        </w:rPr>
        <w:t>201</w:t>
      </w:r>
      <w:r w:rsidR="00FF32F6" w:rsidRPr="00DE398C">
        <w:rPr>
          <w:szCs w:val="24"/>
        </w:rPr>
        <w:t>4</w:t>
      </w:r>
    </w:p>
    <w:p w:rsidR="00831849" w:rsidRPr="00DE398C" w:rsidRDefault="00831849" w:rsidP="00DE398C">
      <w:pPr>
        <w:spacing w:line="312" w:lineRule="auto"/>
        <w:rPr>
          <w:szCs w:val="24"/>
        </w:rPr>
      </w:pPr>
    </w:p>
    <w:p w:rsidR="00831849" w:rsidRPr="00DE398C" w:rsidRDefault="004A36A6" w:rsidP="00DE398C">
      <w:pPr>
        <w:spacing w:line="312" w:lineRule="auto"/>
        <w:jc w:val="right"/>
        <w:rPr>
          <w:szCs w:val="24"/>
        </w:rPr>
      </w:pPr>
      <w:r w:rsidRPr="00DE398C">
        <w:rPr>
          <w:szCs w:val="24"/>
        </w:rPr>
        <w:t>Informacja Prasowa</w:t>
      </w:r>
    </w:p>
    <w:p w:rsidR="00831849" w:rsidRPr="00DE398C" w:rsidRDefault="00831849" w:rsidP="00DE398C">
      <w:pPr>
        <w:spacing w:line="312" w:lineRule="auto"/>
        <w:rPr>
          <w:szCs w:val="24"/>
        </w:rPr>
      </w:pPr>
    </w:p>
    <w:p w:rsidR="00D5186D" w:rsidRPr="00DE398C" w:rsidRDefault="0049741D" w:rsidP="00DE398C">
      <w:pPr>
        <w:spacing w:line="312" w:lineRule="auto"/>
        <w:rPr>
          <w:b/>
          <w:sz w:val="28"/>
          <w:szCs w:val="24"/>
        </w:rPr>
      </w:pPr>
      <w:r>
        <w:rPr>
          <w:b/>
          <w:sz w:val="28"/>
          <w:szCs w:val="24"/>
        </w:rPr>
        <w:t xml:space="preserve">Wyniki Grupy kapitałowej Getin Holding </w:t>
      </w:r>
      <w:r w:rsidR="00E85CE8">
        <w:rPr>
          <w:b/>
          <w:sz w:val="28"/>
          <w:szCs w:val="24"/>
        </w:rPr>
        <w:t>za trzy kwartały</w:t>
      </w:r>
      <w:r>
        <w:rPr>
          <w:b/>
          <w:sz w:val="28"/>
          <w:szCs w:val="24"/>
        </w:rPr>
        <w:t xml:space="preserve"> 2014 roku</w:t>
      </w:r>
    </w:p>
    <w:p w:rsidR="00831849" w:rsidRPr="00DE398C" w:rsidRDefault="00831849" w:rsidP="00DE398C">
      <w:pPr>
        <w:spacing w:line="312" w:lineRule="auto"/>
        <w:jc w:val="center"/>
        <w:rPr>
          <w:szCs w:val="24"/>
        </w:rPr>
      </w:pPr>
    </w:p>
    <w:p w:rsidR="00DA2074" w:rsidRPr="008B7D50" w:rsidRDefault="00526EA2" w:rsidP="00DA2074">
      <w:pPr>
        <w:spacing w:line="312" w:lineRule="auto"/>
        <w:jc w:val="both"/>
        <w:rPr>
          <w:b/>
          <w:szCs w:val="24"/>
          <w:highlight w:val="lightGray"/>
        </w:rPr>
      </w:pPr>
      <w:r w:rsidRPr="008B7D50">
        <w:rPr>
          <w:b/>
          <w:szCs w:val="24"/>
        </w:rPr>
        <w:t xml:space="preserve">Po dziewięciu miesiącach br. </w:t>
      </w:r>
      <w:r w:rsidR="00DA2074" w:rsidRPr="008B7D50">
        <w:rPr>
          <w:b/>
          <w:szCs w:val="24"/>
        </w:rPr>
        <w:t>Grupa Getin Holding wypracowała zysk netto przypisany akcjonariuszom jednostki dominującej w wysokości 179,7 mln PLN (+7,</w:t>
      </w:r>
      <w:r w:rsidR="00E85CE8">
        <w:rPr>
          <w:b/>
          <w:szCs w:val="24"/>
        </w:rPr>
        <w:t>4</w:t>
      </w:r>
      <w:r w:rsidR="00DA2074" w:rsidRPr="008B7D50">
        <w:rPr>
          <w:b/>
          <w:szCs w:val="24"/>
        </w:rPr>
        <w:t xml:space="preserve">% r/r). Zysk netto Grupy przypisany akcjonariuszom jednostki dominującej w III kwartale wyniósł 106,0 mln PLN i był o </w:t>
      </w:r>
      <w:r w:rsidR="00E85CE8">
        <w:rPr>
          <w:b/>
          <w:szCs w:val="24"/>
        </w:rPr>
        <w:t>67,7%</w:t>
      </w:r>
      <w:r w:rsidR="00DA2074" w:rsidRPr="008B7D50">
        <w:rPr>
          <w:b/>
          <w:szCs w:val="24"/>
        </w:rPr>
        <w:t xml:space="preserve"> lepszy w ujęciu rok do roku.</w:t>
      </w:r>
      <w:r w:rsidR="00851511" w:rsidRPr="008B7D50">
        <w:rPr>
          <w:b/>
          <w:szCs w:val="24"/>
        </w:rPr>
        <w:t xml:space="preserve"> We wrześniu Grupa </w:t>
      </w:r>
      <w:r w:rsidRPr="008B7D50">
        <w:rPr>
          <w:b/>
          <w:szCs w:val="24"/>
        </w:rPr>
        <w:br/>
      </w:r>
      <w:r w:rsidR="00851511" w:rsidRPr="008B7D50">
        <w:rPr>
          <w:b/>
          <w:szCs w:val="24"/>
        </w:rPr>
        <w:t xml:space="preserve">z sukcesem sfinalizowała umowę nabycia VB Leasing Polska i VB Leasing Rumunia. </w:t>
      </w:r>
    </w:p>
    <w:p w:rsidR="00DA2074" w:rsidRPr="008B7D50" w:rsidRDefault="00DA2074" w:rsidP="00DE398C">
      <w:pPr>
        <w:spacing w:line="312" w:lineRule="auto"/>
        <w:jc w:val="both"/>
        <w:rPr>
          <w:b/>
          <w:szCs w:val="24"/>
        </w:rPr>
      </w:pPr>
    </w:p>
    <w:p w:rsidR="003A2350" w:rsidRPr="008B7D50" w:rsidRDefault="003A2350" w:rsidP="00DE398C">
      <w:pPr>
        <w:spacing w:line="312" w:lineRule="auto"/>
        <w:jc w:val="both"/>
        <w:rPr>
          <w:i/>
          <w:szCs w:val="24"/>
        </w:rPr>
      </w:pPr>
      <w:r w:rsidRPr="008B7D50">
        <w:rPr>
          <w:i/>
          <w:szCs w:val="24"/>
        </w:rPr>
        <w:t xml:space="preserve">Trzeci kwartał to przede wszystkim </w:t>
      </w:r>
      <w:r w:rsidR="00CC72B6" w:rsidRPr="008B7D50">
        <w:rPr>
          <w:i/>
          <w:szCs w:val="24"/>
        </w:rPr>
        <w:t xml:space="preserve">zakończenie z </w:t>
      </w:r>
      <w:r w:rsidRPr="008B7D50">
        <w:rPr>
          <w:i/>
          <w:szCs w:val="24"/>
        </w:rPr>
        <w:t>sukces</w:t>
      </w:r>
      <w:r w:rsidR="00CC72B6" w:rsidRPr="008B7D50">
        <w:rPr>
          <w:i/>
          <w:szCs w:val="24"/>
        </w:rPr>
        <w:t>em</w:t>
      </w:r>
      <w:r w:rsidRPr="008B7D50">
        <w:rPr>
          <w:i/>
          <w:szCs w:val="24"/>
        </w:rPr>
        <w:t xml:space="preserve"> przejęcia działalności biznesowej VB Leasing w Polsce oraz</w:t>
      </w:r>
      <w:r w:rsidR="00076F23" w:rsidRPr="008B7D50">
        <w:rPr>
          <w:i/>
          <w:szCs w:val="24"/>
        </w:rPr>
        <w:t xml:space="preserve"> w</w:t>
      </w:r>
      <w:r w:rsidRPr="008B7D50">
        <w:rPr>
          <w:i/>
          <w:szCs w:val="24"/>
        </w:rPr>
        <w:t xml:space="preserve"> Rumunii. Jest to kolejne potwierdzenie zdolności Grupy Getin Holding do okazyjnych i biznesowo uzasadnionych akwizycji. </w:t>
      </w:r>
      <w:r w:rsidR="00CC72B6" w:rsidRPr="008B7D50">
        <w:rPr>
          <w:i/>
          <w:szCs w:val="24"/>
        </w:rPr>
        <w:t>Spodziewamy się</w:t>
      </w:r>
      <w:r w:rsidRPr="008B7D50">
        <w:rPr>
          <w:i/>
          <w:szCs w:val="24"/>
        </w:rPr>
        <w:t>, że</w:t>
      </w:r>
      <w:r w:rsidR="00191DE7" w:rsidRPr="008B7D50">
        <w:rPr>
          <w:i/>
          <w:szCs w:val="24"/>
        </w:rPr>
        <w:t xml:space="preserve"> przy utrzymaniu się obecnych trendów</w:t>
      </w:r>
      <w:r w:rsidRPr="008B7D50">
        <w:rPr>
          <w:i/>
          <w:szCs w:val="24"/>
        </w:rPr>
        <w:t xml:space="preserve"> już</w:t>
      </w:r>
      <w:r w:rsidR="00EC0B4D" w:rsidRPr="008B7D50">
        <w:rPr>
          <w:i/>
          <w:szCs w:val="24"/>
        </w:rPr>
        <w:t xml:space="preserve"> </w:t>
      </w:r>
      <w:r w:rsidR="00001655" w:rsidRPr="008B7D50">
        <w:rPr>
          <w:i/>
          <w:szCs w:val="24"/>
        </w:rPr>
        <w:t xml:space="preserve">w </w:t>
      </w:r>
      <w:r w:rsidRPr="008B7D50">
        <w:rPr>
          <w:i/>
          <w:szCs w:val="24"/>
        </w:rPr>
        <w:t xml:space="preserve">najbliższym kwartale </w:t>
      </w:r>
      <w:r w:rsidR="009D48E6" w:rsidRPr="008B7D50">
        <w:rPr>
          <w:i/>
          <w:szCs w:val="24"/>
        </w:rPr>
        <w:t>powinniśmy</w:t>
      </w:r>
      <w:r w:rsidR="00CC72B6" w:rsidRPr="008B7D50">
        <w:rPr>
          <w:i/>
          <w:szCs w:val="24"/>
        </w:rPr>
        <w:t xml:space="preserve"> </w:t>
      </w:r>
      <w:r w:rsidRPr="008B7D50">
        <w:rPr>
          <w:i/>
          <w:szCs w:val="24"/>
        </w:rPr>
        <w:t>zaobserw</w:t>
      </w:r>
      <w:r w:rsidR="00CC72B6" w:rsidRPr="008B7D50">
        <w:rPr>
          <w:i/>
          <w:szCs w:val="24"/>
        </w:rPr>
        <w:t xml:space="preserve">ować </w:t>
      </w:r>
      <w:r w:rsidRPr="008B7D50">
        <w:rPr>
          <w:i/>
          <w:szCs w:val="24"/>
        </w:rPr>
        <w:t xml:space="preserve">pozytywny wpływ działalności operacyjnej nabytych spółek na wynik Grupy – </w:t>
      </w:r>
      <w:r w:rsidRPr="008B7D50">
        <w:rPr>
          <w:szCs w:val="24"/>
        </w:rPr>
        <w:t>powiedział Piotr Kaczmarek, Prezes Zarządu Getin Holding.</w:t>
      </w:r>
      <w:r w:rsidRPr="008B7D50">
        <w:rPr>
          <w:i/>
          <w:szCs w:val="24"/>
        </w:rPr>
        <w:t xml:space="preserve"> </w:t>
      </w:r>
      <w:r w:rsidR="007B0C17" w:rsidRPr="008B7D50">
        <w:rPr>
          <w:i/>
          <w:szCs w:val="24"/>
        </w:rPr>
        <w:t xml:space="preserve">W minionych kwartałach koncentrowaliśmy się również </w:t>
      </w:r>
      <w:r w:rsidR="00081118" w:rsidRPr="008B7D50">
        <w:rPr>
          <w:i/>
          <w:szCs w:val="24"/>
        </w:rPr>
        <w:t xml:space="preserve">na </w:t>
      </w:r>
      <w:r w:rsidR="00B95CC2" w:rsidRPr="008B7D50">
        <w:rPr>
          <w:i/>
          <w:szCs w:val="24"/>
        </w:rPr>
        <w:t>przeciwdziałaniu</w:t>
      </w:r>
      <w:r w:rsidR="00076F23" w:rsidRPr="008B7D50">
        <w:rPr>
          <w:i/>
          <w:szCs w:val="24"/>
        </w:rPr>
        <w:t xml:space="preserve"> efektom</w:t>
      </w:r>
      <w:r w:rsidR="00B95CC2" w:rsidRPr="008B7D50">
        <w:rPr>
          <w:i/>
          <w:szCs w:val="24"/>
        </w:rPr>
        <w:t xml:space="preserve"> negatywnej sytuacji </w:t>
      </w:r>
      <w:r w:rsidR="00001655" w:rsidRPr="008B7D50">
        <w:rPr>
          <w:i/>
          <w:szCs w:val="24"/>
        </w:rPr>
        <w:t>w</w:t>
      </w:r>
      <w:r w:rsidR="00B95CC2" w:rsidRPr="008B7D50">
        <w:rPr>
          <w:i/>
          <w:szCs w:val="24"/>
        </w:rPr>
        <w:t xml:space="preserve"> Europ</w:t>
      </w:r>
      <w:r w:rsidR="00001655" w:rsidRPr="008B7D50">
        <w:rPr>
          <w:i/>
          <w:szCs w:val="24"/>
        </w:rPr>
        <w:t>ie Wschodniej</w:t>
      </w:r>
      <w:r w:rsidR="00B95CC2" w:rsidRPr="008B7D50">
        <w:rPr>
          <w:i/>
          <w:szCs w:val="24"/>
        </w:rPr>
        <w:t>, na prowadzony</w:t>
      </w:r>
      <w:r w:rsidR="00076F23" w:rsidRPr="008B7D50">
        <w:rPr>
          <w:i/>
          <w:szCs w:val="24"/>
        </w:rPr>
        <w:t xml:space="preserve"> </w:t>
      </w:r>
      <w:r w:rsidR="00001655" w:rsidRPr="008B7D50">
        <w:rPr>
          <w:i/>
          <w:szCs w:val="24"/>
        </w:rPr>
        <w:t xml:space="preserve">tam </w:t>
      </w:r>
      <w:r w:rsidR="00B95CC2" w:rsidRPr="008B7D50">
        <w:rPr>
          <w:i/>
          <w:szCs w:val="24"/>
        </w:rPr>
        <w:t>biznes. Naszym priorytetem było utrzymanie wysokich wskaźnikó</w:t>
      </w:r>
      <w:r w:rsidR="00081118" w:rsidRPr="008B7D50">
        <w:rPr>
          <w:i/>
          <w:szCs w:val="24"/>
        </w:rPr>
        <w:t>w nadzorczych</w:t>
      </w:r>
      <w:r w:rsidR="00076F23" w:rsidRPr="008B7D50">
        <w:rPr>
          <w:i/>
          <w:szCs w:val="24"/>
        </w:rPr>
        <w:t xml:space="preserve"> </w:t>
      </w:r>
      <w:r w:rsidR="00081118" w:rsidRPr="008B7D50">
        <w:rPr>
          <w:i/>
          <w:szCs w:val="24"/>
        </w:rPr>
        <w:t xml:space="preserve">i płynnościowych, ochrona poziomu </w:t>
      </w:r>
      <w:r w:rsidR="00B95CC2" w:rsidRPr="008B7D50">
        <w:rPr>
          <w:i/>
          <w:szCs w:val="24"/>
        </w:rPr>
        <w:t xml:space="preserve">salda depozytów oraz ścisła dyscyplina kosztowa </w:t>
      </w:r>
      <w:r w:rsidR="00B95CC2" w:rsidRPr="008B7D50">
        <w:rPr>
          <w:szCs w:val="24"/>
        </w:rPr>
        <w:t>– dodaje.</w:t>
      </w:r>
      <w:r w:rsidRPr="008B7D50">
        <w:rPr>
          <w:szCs w:val="24"/>
        </w:rPr>
        <w:t xml:space="preserve">    </w:t>
      </w:r>
    </w:p>
    <w:p w:rsidR="003A2350" w:rsidRPr="008B7D50" w:rsidRDefault="003A2350" w:rsidP="00DE398C">
      <w:pPr>
        <w:spacing w:line="312" w:lineRule="auto"/>
        <w:jc w:val="both"/>
        <w:rPr>
          <w:i/>
          <w:szCs w:val="24"/>
        </w:rPr>
      </w:pPr>
    </w:p>
    <w:p w:rsidR="00A34AE2" w:rsidRDefault="00A34AE2" w:rsidP="00A34AE2">
      <w:pPr>
        <w:spacing w:line="312" w:lineRule="auto"/>
        <w:jc w:val="both"/>
      </w:pPr>
      <w:r>
        <w:t xml:space="preserve">Za trzy kwartały 2014 roku Grupa Idea Bank Polska osiągnęła zysk netto przypisany akcjonariuszom jednostki dominującej na poziomie 186,7 mln PLN. W ujęciu kwartalnym, po wyłączeniu efektu nabycia przez Idea Leasing spółki VB Leasing Polska, zysk Grupy Idea Bank wzrósł o 31,4% (q/q). W ciągu dziewięciu miesięcy br. wartość sprzedaży kredytowej </w:t>
      </w:r>
      <w:r>
        <w:br/>
        <w:t xml:space="preserve">w ramach Grupy Idea Bank osiągnęła poziom blisko 1,4 mld PLN, co oznacza 7,2% wzrost względem analogicznego okresu rok </w:t>
      </w:r>
      <w:r w:rsidRPr="00A34AE2">
        <w:t>wcześniej.</w:t>
      </w:r>
      <w:r w:rsidRPr="00A34AE2">
        <w:rPr>
          <w:b/>
          <w:bCs/>
        </w:rPr>
        <w:t xml:space="preserve"> </w:t>
      </w:r>
      <w:r w:rsidRPr="00A34AE2">
        <w:t>Grupa</w:t>
      </w:r>
      <w:r>
        <w:t xml:space="preserve"> Idea Bank odnotowała również pozytywne efekty pozostałych tegorocznych akwizycji – </w:t>
      </w:r>
      <w:proofErr w:type="spellStart"/>
      <w:r>
        <w:t>getBack</w:t>
      </w:r>
      <w:proofErr w:type="spellEnd"/>
      <w:r>
        <w:t xml:space="preserve"> (spółka windykacyjna) oraz Idea Money (</w:t>
      </w:r>
      <w:proofErr w:type="spellStart"/>
      <w:r>
        <w:t>mikrofaktoring</w:t>
      </w:r>
      <w:proofErr w:type="spellEnd"/>
      <w:r>
        <w:t xml:space="preserve">). Ich łączna kontrybucja od  lipca 2014 r. do wyniku w III kwartale wyniosła 18,6 mln PLN. Na koniec września 2014 roku suma bilansowa Grupy Idea Bank przekroczyła poziom 13,5 mld PLN (+74,3% r/r). Współczynnik </w:t>
      </w:r>
      <w:proofErr w:type="spellStart"/>
      <w:r>
        <w:t>Tier</w:t>
      </w:r>
      <w:proofErr w:type="spellEnd"/>
      <w:r>
        <w:t xml:space="preserve"> 1 Idea Banku na koniec III kwartału wynosił 16,24%.  </w:t>
      </w:r>
    </w:p>
    <w:p w:rsidR="00336DF4" w:rsidRPr="008B7D50" w:rsidRDefault="00336DF4" w:rsidP="00DE398C">
      <w:pPr>
        <w:spacing w:line="312" w:lineRule="auto"/>
        <w:jc w:val="both"/>
        <w:rPr>
          <w:szCs w:val="24"/>
          <w:highlight w:val="yellow"/>
        </w:rPr>
      </w:pPr>
    </w:p>
    <w:p w:rsidR="004415EA" w:rsidRPr="008B7D50" w:rsidRDefault="00191DE7" w:rsidP="00DE398C">
      <w:pPr>
        <w:spacing w:line="312" w:lineRule="auto"/>
        <w:jc w:val="both"/>
        <w:rPr>
          <w:i/>
          <w:szCs w:val="24"/>
        </w:rPr>
      </w:pPr>
      <w:r w:rsidRPr="008B7D50">
        <w:rPr>
          <w:i/>
          <w:szCs w:val="24"/>
        </w:rPr>
        <w:lastRenderedPageBreak/>
        <w:t>Wypracowany z</w:t>
      </w:r>
      <w:r w:rsidR="00E25CE6" w:rsidRPr="008B7D50">
        <w:rPr>
          <w:i/>
          <w:szCs w:val="24"/>
        </w:rPr>
        <w:t>ysk to nie tylko zasługa efektu akwizycji VB Leasing, lecz w dużej mierze organicznego rozwoju wszystkich spółek</w:t>
      </w:r>
      <w:r w:rsidR="004415EA" w:rsidRPr="008B7D50">
        <w:rPr>
          <w:i/>
          <w:szCs w:val="24"/>
        </w:rPr>
        <w:t xml:space="preserve"> Grupy Idea Banku</w:t>
      </w:r>
      <w:r w:rsidR="00E25CE6" w:rsidRPr="008B7D50">
        <w:rPr>
          <w:i/>
          <w:szCs w:val="24"/>
        </w:rPr>
        <w:t xml:space="preserve"> i ich pozytywnej kontrybucji do wyniku. To ważne, że przejmowane podmioty </w:t>
      </w:r>
      <w:r w:rsidR="00AA33CF" w:rsidRPr="008B7D50">
        <w:rPr>
          <w:i/>
          <w:szCs w:val="24"/>
        </w:rPr>
        <w:t>od początku obecności w Grupie Idea Bank</w:t>
      </w:r>
      <w:r w:rsidR="00E25CE6" w:rsidRPr="008B7D50">
        <w:rPr>
          <w:i/>
          <w:szCs w:val="24"/>
        </w:rPr>
        <w:t xml:space="preserve"> generują zysk</w:t>
      </w:r>
      <w:r w:rsidR="00EE441D" w:rsidRPr="008B7D50">
        <w:rPr>
          <w:i/>
          <w:szCs w:val="24"/>
        </w:rPr>
        <w:t xml:space="preserve"> </w:t>
      </w:r>
      <w:r w:rsidR="00E25CE6" w:rsidRPr="008B7D50">
        <w:rPr>
          <w:szCs w:val="24"/>
        </w:rPr>
        <w:t xml:space="preserve">– powiedział Jarosław Augustyniak, Prezes Zarządu Idea Banku. </w:t>
      </w:r>
      <w:r w:rsidR="004415EA" w:rsidRPr="008B7D50">
        <w:rPr>
          <w:i/>
          <w:szCs w:val="24"/>
        </w:rPr>
        <w:t>Jestem przekonany, że t</w:t>
      </w:r>
      <w:r w:rsidR="00303615" w:rsidRPr="008B7D50">
        <w:rPr>
          <w:i/>
          <w:szCs w:val="24"/>
        </w:rPr>
        <w:t>rwający obecnie proces integracji naszych spółek leasingowych</w:t>
      </w:r>
      <w:r w:rsidR="004415EA" w:rsidRPr="008B7D50">
        <w:rPr>
          <w:i/>
          <w:szCs w:val="24"/>
        </w:rPr>
        <w:t xml:space="preserve"> pozytywnie wpłynie na dalszy rozwój Grupy</w:t>
      </w:r>
      <w:r w:rsidR="00AA33CF" w:rsidRPr="008B7D50">
        <w:rPr>
          <w:i/>
          <w:szCs w:val="24"/>
        </w:rPr>
        <w:t xml:space="preserve"> Idea Bank</w:t>
      </w:r>
      <w:r w:rsidR="004415EA" w:rsidRPr="008B7D50">
        <w:rPr>
          <w:i/>
          <w:szCs w:val="24"/>
        </w:rPr>
        <w:t xml:space="preserve">. </w:t>
      </w:r>
    </w:p>
    <w:p w:rsidR="004415EA" w:rsidRPr="008B7D50" w:rsidRDefault="004415EA" w:rsidP="00DE398C">
      <w:pPr>
        <w:spacing w:line="312" w:lineRule="auto"/>
        <w:jc w:val="both"/>
        <w:rPr>
          <w:szCs w:val="24"/>
        </w:rPr>
      </w:pPr>
    </w:p>
    <w:p w:rsidR="00C45428" w:rsidRPr="008B7D50" w:rsidRDefault="00C45428" w:rsidP="00DE398C">
      <w:pPr>
        <w:spacing w:line="312" w:lineRule="auto"/>
        <w:jc w:val="both"/>
        <w:rPr>
          <w:szCs w:val="24"/>
        </w:rPr>
      </w:pPr>
      <w:r w:rsidRPr="008B7D50">
        <w:rPr>
          <w:szCs w:val="24"/>
        </w:rPr>
        <w:t xml:space="preserve">Dzięki okazyjnemu nabyciu VB Leasing Rumunia przez </w:t>
      </w:r>
      <w:proofErr w:type="spellStart"/>
      <w:r w:rsidRPr="008B7D50">
        <w:rPr>
          <w:szCs w:val="24"/>
        </w:rPr>
        <w:t>Romanian</w:t>
      </w:r>
      <w:proofErr w:type="spellEnd"/>
      <w:r w:rsidRPr="008B7D50">
        <w:rPr>
          <w:szCs w:val="24"/>
        </w:rPr>
        <w:t xml:space="preserve"> International Bank, </w:t>
      </w:r>
      <w:r w:rsidR="00F70818" w:rsidRPr="008B7D50">
        <w:rPr>
          <w:szCs w:val="24"/>
        </w:rPr>
        <w:t xml:space="preserve">zysk netto </w:t>
      </w:r>
      <w:r w:rsidR="002F34E6">
        <w:rPr>
          <w:szCs w:val="24"/>
        </w:rPr>
        <w:t>Grupy RIB</w:t>
      </w:r>
      <w:r w:rsidR="00F70818" w:rsidRPr="008B7D50">
        <w:rPr>
          <w:szCs w:val="24"/>
        </w:rPr>
        <w:t xml:space="preserve"> wyniósł ponad 52,7 mln PLN. W tym samym okresie, RIB wykupił wierzytelności leas</w:t>
      </w:r>
      <w:r w:rsidR="005669A5">
        <w:rPr>
          <w:szCs w:val="24"/>
        </w:rPr>
        <w:t>ingowe o wartości 482,5 mln PLN</w:t>
      </w:r>
      <w:bookmarkStart w:id="0" w:name="_GoBack"/>
      <w:bookmarkEnd w:id="0"/>
      <w:r w:rsidR="00F70818" w:rsidRPr="008B7D50">
        <w:rPr>
          <w:szCs w:val="24"/>
        </w:rPr>
        <w:t xml:space="preserve">. Bank podjął intensywne działania związane z identyfikacją </w:t>
      </w:r>
      <w:r w:rsidR="002F34E6">
        <w:rPr>
          <w:szCs w:val="24"/>
        </w:rPr>
        <w:t>k</w:t>
      </w:r>
      <w:r w:rsidR="00F70818" w:rsidRPr="008B7D50">
        <w:rPr>
          <w:szCs w:val="24"/>
        </w:rPr>
        <w:t xml:space="preserve">lientów VB Leasing Rumunia </w:t>
      </w:r>
      <w:r w:rsidR="0090094F" w:rsidRPr="008B7D50">
        <w:rPr>
          <w:szCs w:val="24"/>
        </w:rPr>
        <w:t>i przygotowaniem oferty cross-</w:t>
      </w:r>
      <w:proofErr w:type="spellStart"/>
      <w:r w:rsidR="0090094F" w:rsidRPr="008B7D50">
        <w:rPr>
          <w:szCs w:val="24"/>
        </w:rPr>
        <w:t>sellowej</w:t>
      </w:r>
      <w:proofErr w:type="spellEnd"/>
      <w:r w:rsidR="0090094F" w:rsidRPr="008B7D50">
        <w:rPr>
          <w:szCs w:val="24"/>
        </w:rPr>
        <w:t xml:space="preserve">. RIB odnotował </w:t>
      </w:r>
      <w:r w:rsidR="00BC13AE" w:rsidRPr="008B7D50">
        <w:rPr>
          <w:szCs w:val="24"/>
        </w:rPr>
        <w:t xml:space="preserve">również </w:t>
      </w:r>
      <w:r w:rsidR="0090094F" w:rsidRPr="008B7D50">
        <w:rPr>
          <w:szCs w:val="24"/>
        </w:rPr>
        <w:t xml:space="preserve">71,2% wzrost salda depozytów względem początku br. </w:t>
      </w:r>
    </w:p>
    <w:p w:rsidR="00C45428" w:rsidRPr="008B7D50" w:rsidRDefault="00C45428" w:rsidP="00E654F8">
      <w:pPr>
        <w:spacing w:line="312" w:lineRule="auto"/>
        <w:jc w:val="both"/>
        <w:rPr>
          <w:szCs w:val="24"/>
          <w:highlight w:val="yellow"/>
        </w:rPr>
      </w:pPr>
    </w:p>
    <w:p w:rsidR="00271E15" w:rsidRPr="008B7D50" w:rsidRDefault="00725698" w:rsidP="00DE398C">
      <w:pPr>
        <w:spacing w:line="312" w:lineRule="auto"/>
        <w:jc w:val="both"/>
        <w:rPr>
          <w:szCs w:val="24"/>
        </w:rPr>
      </w:pPr>
      <w:r w:rsidRPr="008B7D50">
        <w:rPr>
          <w:szCs w:val="24"/>
        </w:rPr>
        <w:t>Po dziewięciu miesiącach br.</w:t>
      </w:r>
      <w:r w:rsidR="00C16C3C" w:rsidRPr="008B7D50">
        <w:rPr>
          <w:szCs w:val="24"/>
        </w:rPr>
        <w:t>,</w:t>
      </w:r>
      <w:r w:rsidRPr="008B7D50">
        <w:rPr>
          <w:szCs w:val="24"/>
        </w:rPr>
        <w:t xml:space="preserve"> mimo negatywnych trendów utrzymujących się w gospodarce rosyjskiej, Grupa Carcade oraz Idea Bank Rosja, </w:t>
      </w:r>
      <w:r w:rsidR="009E3871" w:rsidRPr="008B7D50">
        <w:rPr>
          <w:szCs w:val="24"/>
        </w:rPr>
        <w:t xml:space="preserve">wypracowały zysk netto na poziomie 21,6 mln PLN. </w:t>
      </w:r>
      <w:r w:rsidR="00C16C3C" w:rsidRPr="008B7D50">
        <w:rPr>
          <w:szCs w:val="24"/>
        </w:rPr>
        <w:t xml:space="preserve">Warto podkreślić, że w </w:t>
      </w:r>
      <w:r w:rsidR="00480095" w:rsidRPr="008B7D50">
        <w:rPr>
          <w:szCs w:val="24"/>
        </w:rPr>
        <w:t>minionym</w:t>
      </w:r>
      <w:r w:rsidR="00C16C3C" w:rsidRPr="008B7D50">
        <w:rPr>
          <w:szCs w:val="24"/>
        </w:rPr>
        <w:t xml:space="preserve"> kwartale Bank zahamował (q/q) przyrost poziomu rezerw. </w:t>
      </w:r>
      <w:r w:rsidR="009E3871" w:rsidRPr="008B7D50">
        <w:rPr>
          <w:szCs w:val="24"/>
        </w:rPr>
        <w:t xml:space="preserve">W trzecim kwartale nastąpił 10,7% (do 414,1 mln PLN) wzrost wartości sprzedaży leasingu. Dodatkowo, przychody związane z usługami dodatkowymi, </w:t>
      </w:r>
      <w:r w:rsidR="001D3C0D" w:rsidRPr="008B7D50">
        <w:rPr>
          <w:szCs w:val="24"/>
        </w:rPr>
        <w:br/>
      </w:r>
      <w:r w:rsidR="009E3871" w:rsidRPr="008B7D50">
        <w:rPr>
          <w:szCs w:val="24"/>
        </w:rPr>
        <w:t xml:space="preserve">w tym m.in. konsultingiem leasingowym, wzrosły o 20,8% </w:t>
      </w:r>
      <w:r w:rsidR="00C16C3C" w:rsidRPr="008B7D50">
        <w:rPr>
          <w:szCs w:val="24"/>
        </w:rPr>
        <w:t>(</w:t>
      </w:r>
      <w:r w:rsidR="009E3871" w:rsidRPr="008B7D50">
        <w:rPr>
          <w:szCs w:val="24"/>
        </w:rPr>
        <w:t>q/q</w:t>
      </w:r>
      <w:r w:rsidR="00C16C3C" w:rsidRPr="008B7D50">
        <w:rPr>
          <w:szCs w:val="24"/>
        </w:rPr>
        <w:t>)</w:t>
      </w:r>
      <w:r w:rsidR="009E3871" w:rsidRPr="008B7D50">
        <w:rPr>
          <w:szCs w:val="24"/>
        </w:rPr>
        <w:t xml:space="preserve">. </w:t>
      </w:r>
      <w:r w:rsidR="00480095" w:rsidRPr="008B7D50">
        <w:rPr>
          <w:szCs w:val="24"/>
        </w:rPr>
        <w:t>Dodatkowo</w:t>
      </w:r>
      <w:r w:rsidR="00C16C3C" w:rsidRPr="008B7D50">
        <w:rPr>
          <w:szCs w:val="24"/>
        </w:rPr>
        <w:t>,</w:t>
      </w:r>
      <w:r w:rsidR="009E3871" w:rsidRPr="008B7D50">
        <w:rPr>
          <w:szCs w:val="24"/>
        </w:rPr>
        <w:t xml:space="preserve"> w celu zwiększenia efektywności sprzedaży samochodów poleasingowych, powołano nową spółkę Centr </w:t>
      </w:r>
      <w:proofErr w:type="spellStart"/>
      <w:r w:rsidR="00C04B07">
        <w:rPr>
          <w:szCs w:val="24"/>
        </w:rPr>
        <w:t>Karawto</w:t>
      </w:r>
      <w:proofErr w:type="spellEnd"/>
      <w:r w:rsidR="009E3871" w:rsidRPr="008B7D50">
        <w:rPr>
          <w:szCs w:val="24"/>
        </w:rPr>
        <w:t xml:space="preserve">. </w:t>
      </w:r>
    </w:p>
    <w:p w:rsidR="00D71167" w:rsidRPr="008B7D50" w:rsidRDefault="00D71167" w:rsidP="00DE398C">
      <w:pPr>
        <w:spacing w:line="312" w:lineRule="auto"/>
        <w:jc w:val="both"/>
        <w:rPr>
          <w:szCs w:val="24"/>
        </w:rPr>
      </w:pPr>
    </w:p>
    <w:p w:rsidR="00E654F8" w:rsidRPr="008B7D50" w:rsidRDefault="0095686B" w:rsidP="00DE398C">
      <w:pPr>
        <w:spacing w:line="312" w:lineRule="auto"/>
        <w:jc w:val="both"/>
        <w:rPr>
          <w:szCs w:val="24"/>
        </w:rPr>
      </w:pPr>
      <w:r w:rsidRPr="008B7D50">
        <w:rPr>
          <w:szCs w:val="24"/>
        </w:rPr>
        <w:t xml:space="preserve">W III kwartale 2014 roku </w:t>
      </w:r>
      <w:r w:rsidR="002F34E6">
        <w:rPr>
          <w:szCs w:val="24"/>
        </w:rPr>
        <w:t xml:space="preserve">Grupa </w:t>
      </w:r>
      <w:r w:rsidR="00E654F8" w:rsidRPr="008B7D50">
        <w:rPr>
          <w:szCs w:val="24"/>
        </w:rPr>
        <w:t>Idea Bank Białoruś wypracował</w:t>
      </w:r>
      <w:r w:rsidR="002F34E6">
        <w:rPr>
          <w:szCs w:val="24"/>
        </w:rPr>
        <w:t>a</w:t>
      </w:r>
      <w:r w:rsidR="00E654F8" w:rsidRPr="008B7D50">
        <w:rPr>
          <w:szCs w:val="24"/>
        </w:rPr>
        <w:t xml:space="preserve"> zysk netto na poziomie 14,1 mln PLN. Jest to efektem podjętych w pierwszym półroczu działań, zmierzających do rozbudowy wcześniejszego modelu biznesowego Banku. W ujęciu kwartał do kwartału Bank odnotował ponad 20,2% wzrost sprzedaży kredytów detalicznych oraz 10,3% kredytów SME. </w:t>
      </w:r>
      <w:r w:rsidR="00781EB4">
        <w:rPr>
          <w:szCs w:val="24"/>
        </w:rPr>
        <w:t xml:space="preserve">Grupa </w:t>
      </w:r>
      <w:r w:rsidR="00E654F8" w:rsidRPr="008B7D50">
        <w:rPr>
          <w:szCs w:val="24"/>
        </w:rPr>
        <w:t>Idea Bank Białoruś obniżył</w:t>
      </w:r>
      <w:r w:rsidR="00781EB4">
        <w:rPr>
          <w:szCs w:val="24"/>
        </w:rPr>
        <w:t>a</w:t>
      </w:r>
      <w:r w:rsidR="00E654F8" w:rsidRPr="008B7D50">
        <w:rPr>
          <w:szCs w:val="24"/>
        </w:rPr>
        <w:t xml:space="preserve"> również koszty </w:t>
      </w:r>
      <w:r w:rsidR="00781EB4">
        <w:rPr>
          <w:szCs w:val="24"/>
        </w:rPr>
        <w:t xml:space="preserve">rezerw </w:t>
      </w:r>
      <w:r w:rsidR="00E654F8" w:rsidRPr="008B7D50">
        <w:rPr>
          <w:szCs w:val="24"/>
        </w:rPr>
        <w:t>do poziomu 0</w:t>
      </w:r>
      <w:r w:rsidR="00DB0E91" w:rsidRPr="008B7D50">
        <w:rPr>
          <w:szCs w:val="24"/>
        </w:rPr>
        <w:t xml:space="preserve">,8 </w:t>
      </w:r>
      <w:r w:rsidR="00E654F8" w:rsidRPr="008B7D50">
        <w:rPr>
          <w:szCs w:val="24"/>
        </w:rPr>
        <w:t xml:space="preserve">mln PLN. </w:t>
      </w:r>
      <w:r w:rsidR="00DA3022" w:rsidRPr="008B7D50">
        <w:rPr>
          <w:szCs w:val="24"/>
        </w:rPr>
        <w:t>Na koniec września, saldo depozytów wynosiło 704,6 mln PLN (+2,6% r/r).</w:t>
      </w:r>
    </w:p>
    <w:p w:rsidR="00E654F8" w:rsidRPr="008B7D50" w:rsidRDefault="00E654F8" w:rsidP="00DE398C">
      <w:pPr>
        <w:spacing w:line="312" w:lineRule="auto"/>
        <w:jc w:val="both"/>
        <w:rPr>
          <w:szCs w:val="24"/>
          <w:highlight w:val="yellow"/>
        </w:rPr>
      </w:pPr>
    </w:p>
    <w:p w:rsidR="005A19D9" w:rsidRPr="008B7D50" w:rsidRDefault="00F73354" w:rsidP="00A9117E">
      <w:pPr>
        <w:pStyle w:val="Default"/>
        <w:spacing w:line="312" w:lineRule="auto"/>
        <w:jc w:val="both"/>
        <w:rPr>
          <w:rFonts w:ascii="Times New Roman" w:eastAsia="Times New Roman" w:hAnsi="Times New Roman" w:cs="Times New Roman"/>
          <w:color w:val="auto"/>
        </w:rPr>
      </w:pPr>
      <w:r w:rsidRPr="008B7D50">
        <w:rPr>
          <w:rFonts w:ascii="Times New Roman" w:eastAsia="Times New Roman" w:hAnsi="Times New Roman" w:cs="Times New Roman"/>
          <w:color w:val="auto"/>
        </w:rPr>
        <w:t>W wyniku</w:t>
      </w:r>
      <w:r w:rsidR="00044036" w:rsidRPr="008B7D50">
        <w:rPr>
          <w:rFonts w:ascii="Times New Roman" w:eastAsia="Times New Roman" w:hAnsi="Times New Roman" w:cs="Times New Roman"/>
          <w:color w:val="auto"/>
        </w:rPr>
        <w:t xml:space="preserve"> trwającej od początku roku</w:t>
      </w:r>
      <w:r w:rsidR="00B97605" w:rsidRPr="008B7D50">
        <w:rPr>
          <w:rFonts w:ascii="Times New Roman" w:eastAsia="Times New Roman" w:hAnsi="Times New Roman" w:cs="Times New Roman"/>
          <w:color w:val="auto"/>
        </w:rPr>
        <w:t xml:space="preserve"> niekorzystnej sytuacji politycznej</w:t>
      </w:r>
      <w:r w:rsidR="003F3F6B" w:rsidRPr="008B7D50">
        <w:rPr>
          <w:rFonts w:ascii="Times New Roman" w:eastAsia="Times New Roman" w:hAnsi="Times New Roman" w:cs="Times New Roman"/>
          <w:color w:val="auto"/>
        </w:rPr>
        <w:t xml:space="preserve"> na Ukrainie</w:t>
      </w:r>
      <w:r w:rsidR="00B97605" w:rsidRPr="008B7D50">
        <w:rPr>
          <w:rFonts w:ascii="Times New Roman" w:eastAsia="Times New Roman" w:hAnsi="Times New Roman" w:cs="Times New Roman"/>
          <w:color w:val="auto"/>
        </w:rPr>
        <w:t xml:space="preserve">, </w:t>
      </w:r>
      <w:r w:rsidRPr="008B7D50">
        <w:rPr>
          <w:rFonts w:ascii="Times New Roman" w:eastAsia="Times New Roman" w:hAnsi="Times New Roman" w:cs="Times New Roman"/>
          <w:color w:val="auto"/>
        </w:rPr>
        <w:t xml:space="preserve">strata netto odnotowana przez </w:t>
      </w:r>
      <w:r w:rsidR="009A55C7" w:rsidRPr="008B7D50">
        <w:rPr>
          <w:rFonts w:ascii="Times New Roman" w:eastAsia="Times New Roman" w:hAnsi="Times New Roman" w:cs="Times New Roman"/>
          <w:color w:val="auto"/>
        </w:rPr>
        <w:t xml:space="preserve">Grupę </w:t>
      </w:r>
      <w:r w:rsidRPr="008B7D50">
        <w:rPr>
          <w:rFonts w:ascii="Times New Roman" w:eastAsia="Times New Roman" w:hAnsi="Times New Roman" w:cs="Times New Roman"/>
          <w:color w:val="auto"/>
        </w:rPr>
        <w:t xml:space="preserve">Idea Bank Ukraina </w:t>
      </w:r>
      <w:r w:rsidR="005A19D9" w:rsidRPr="008B7D50">
        <w:rPr>
          <w:rFonts w:ascii="Times New Roman" w:eastAsia="Times New Roman" w:hAnsi="Times New Roman" w:cs="Times New Roman"/>
          <w:color w:val="auto"/>
        </w:rPr>
        <w:t xml:space="preserve">po trzech kwartałach </w:t>
      </w:r>
      <w:r w:rsidR="00044036" w:rsidRPr="008B7D50">
        <w:rPr>
          <w:rFonts w:ascii="Times New Roman" w:eastAsia="Times New Roman" w:hAnsi="Times New Roman" w:cs="Times New Roman"/>
          <w:color w:val="auto"/>
        </w:rPr>
        <w:t xml:space="preserve">osiągnęła poziom </w:t>
      </w:r>
      <w:r w:rsidR="00781EB4">
        <w:rPr>
          <w:rFonts w:ascii="Times New Roman" w:eastAsia="Times New Roman" w:hAnsi="Times New Roman" w:cs="Times New Roman"/>
          <w:color w:val="auto"/>
        </w:rPr>
        <w:t>36,9</w:t>
      </w:r>
      <w:r w:rsidR="005A19D9" w:rsidRPr="008B7D50">
        <w:rPr>
          <w:rFonts w:ascii="Times New Roman" w:eastAsia="Times New Roman" w:hAnsi="Times New Roman" w:cs="Times New Roman"/>
          <w:color w:val="auto"/>
        </w:rPr>
        <w:t xml:space="preserve"> mln </w:t>
      </w:r>
      <w:r w:rsidRPr="008B7D50">
        <w:rPr>
          <w:rFonts w:ascii="Times New Roman" w:eastAsia="Times New Roman" w:hAnsi="Times New Roman" w:cs="Times New Roman"/>
          <w:color w:val="auto"/>
        </w:rPr>
        <w:t xml:space="preserve">PLN. </w:t>
      </w:r>
      <w:r w:rsidR="005A19D9" w:rsidRPr="008B7D50">
        <w:rPr>
          <w:rFonts w:ascii="Times New Roman" w:eastAsia="Times New Roman" w:hAnsi="Times New Roman" w:cs="Times New Roman"/>
          <w:color w:val="auto"/>
        </w:rPr>
        <w:t xml:space="preserve">W III kwartale Bank kontynuował działania sprzedażowe w rejonach nie objętych walkami. </w:t>
      </w:r>
      <w:r w:rsidR="0095686B" w:rsidRPr="008B7D50">
        <w:rPr>
          <w:rFonts w:ascii="Times New Roman" w:eastAsia="Times New Roman" w:hAnsi="Times New Roman" w:cs="Times New Roman"/>
          <w:color w:val="auto"/>
        </w:rPr>
        <w:t>Od początku roku B</w:t>
      </w:r>
      <w:r w:rsidR="007A0A6A" w:rsidRPr="008B7D50">
        <w:rPr>
          <w:rFonts w:ascii="Times New Roman" w:eastAsia="Times New Roman" w:hAnsi="Times New Roman" w:cs="Times New Roman"/>
          <w:color w:val="auto"/>
        </w:rPr>
        <w:t xml:space="preserve">ank utrzymuje stabilny poziom depozytów od Klientów, mimo blisko 30% odpływu </w:t>
      </w:r>
      <w:r w:rsidR="0095686B" w:rsidRPr="008B7D50">
        <w:rPr>
          <w:rFonts w:ascii="Times New Roman" w:eastAsia="Times New Roman" w:hAnsi="Times New Roman" w:cs="Times New Roman"/>
          <w:color w:val="auto"/>
        </w:rPr>
        <w:t>środków</w:t>
      </w:r>
      <w:r w:rsidR="007A0A6A" w:rsidRPr="008B7D50">
        <w:rPr>
          <w:rFonts w:ascii="Times New Roman" w:eastAsia="Times New Roman" w:hAnsi="Times New Roman" w:cs="Times New Roman"/>
          <w:color w:val="auto"/>
        </w:rPr>
        <w:t xml:space="preserve"> z sektora bankowego. Bank nadal utrzymuje </w:t>
      </w:r>
    </w:p>
    <w:p w:rsidR="008B7D50" w:rsidRDefault="00A9117E" w:rsidP="00A9117E">
      <w:pPr>
        <w:pStyle w:val="Default"/>
        <w:spacing w:line="312" w:lineRule="auto"/>
        <w:jc w:val="both"/>
        <w:rPr>
          <w:rFonts w:ascii="Times New Roman" w:eastAsia="Times New Roman" w:hAnsi="Times New Roman" w:cs="Times New Roman"/>
          <w:color w:val="auto"/>
        </w:rPr>
      </w:pPr>
      <w:r w:rsidRPr="008B7D50">
        <w:rPr>
          <w:rFonts w:ascii="Times New Roman" w:eastAsia="Times New Roman" w:hAnsi="Times New Roman" w:cs="Times New Roman"/>
          <w:color w:val="auto"/>
        </w:rPr>
        <w:t xml:space="preserve">wszystkie wskaźniki nadzorcze na poziomie wymaganym przez Narodowy Bank Ukrainy. </w:t>
      </w:r>
    </w:p>
    <w:p w:rsidR="00CE3329" w:rsidRDefault="00CE3329" w:rsidP="00CE3329">
      <w:pPr>
        <w:pStyle w:val="Default"/>
        <w:spacing w:line="312" w:lineRule="auto"/>
        <w:jc w:val="both"/>
        <w:rPr>
          <w:sz w:val="20"/>
        </w:rPr>
      </w:pPr>
    </w:p>
    <w:p w:rsidR="00EA7229" w:rsidRPr="00EA7229" w:rsidRDefault="00EA7229" w:rsidP="00CE3329">
      <w:pPr>
        <w:pStyle w:val="Default"/>
        <w:spacing w:line="312" w:lineRule="auto"/>
        <w:jc w:val="both"/>
        <w:rPr>
          <w:sz w:val="20"/>
        </w:rPr>
      </w:pPr>
      <w:r w:rsidRPr="00EA7229">
        <w:rPr>
          <w:sz w:val="20"/>
        </w:rPr>
        <w:lastRenderedPageBreak/>
        <w:t xml:space="preserve">Niniejsza </w:t>
      </w:r>
      <w:r w:rsidR="00440900">
        <w:rPr>
          <w:sz w:val="20"/>
        </w:rPr>
        <w:t>informacja prasowa</w:t>
      </w:r>
      <w:r w:rsidRPr="00EA7229">
        <w:rPr>
          <w:sz w:val="20"/>
        </w:rPr>
        <w:t xml:space="preserve"> (dalej „</w:t>
      </w:r>
      <w:r w:rsidR="00440900">
        <w:rPr>
          <w:sz w:val="20"/>
        </w:rPr>
        <w:t>Informacja prasowa</w:t>
      </w:r>
      <w:r w:rsidRPr="00EA7229">
        <w:rPr>
          <w:sz w:val="20"/>
        </w:rPr>
        <w:t>”) została przygotowana przez Getin Holding S.A. (dalej „Spółka”) wyłącznie w celach informacyjnych i w żadnym przypadku nie może być traktowana jako oferta lub rekomendacja do zawierania jakichkolwiek transakcji.</w:t>
      </w:r>
      <w:r>
        <w:rPr>
          <w:sz w:val="20"/>
        </w:rPr>
        <w:t xml:space="preserve"> </w:t>
      </w:r>
      <w:r w:rsidRPr="00EA7229">
        <w:rPr>
          <w:sz w:val="20"/>
        </w:rPr>
        <w:t xml:space="preserve">W szczególności nie może być traktowana jako proponowanie nabycia papierów wartościowych, oferta, zaproszenie czy zachęta do złożenia oferty nabycia, dokonania inwestycji lub przeprowadzenia transakcji dotyczących takich papierów wartościowych lub rekomendacja do zawierania jakichkolwiek transakcji, w szczególności dotyczących papierów wartościowych Spółki lub jej spółek zależnych, na terytorium Stanów Zjednoczonych Ameryki lub w jakiejkolwiek innej jurysdykcji. Publikowanie przez Spółkę danych zawartych w niniejszej </w:t>
      </w:r>
      <w:r w:rsidR="00440900">
        <w:rPr>
          <w:sz w:val="20"/>
        </w:rPr>
        <w:t>Informacja prasowej</w:t>
      </w:r>
      <w:r w:rsidRPr="00EA7229">
        <w:rPr>
          <w:sz w:val="20"/>
        </w:rPr>
        <w:t xml:space="preserve"> nie stanowi naruszenia przepisów prawa obowiązujących spółki, których akcje są notowane na rynku regulowanym, w szczególności na rynku regulowanym prowadzonym przez Giełdę Papierów Wartościowych w Warszawie S.A. Informacje w niej zawarte zostały przekazane do publicznej wiadomości przez Spółkę w ramach raportów bieżących lub okresowych, albo stanowią ich uzupełnienie, nie będąc jednocześnie podstawą do spełnienia nałożonego na Spółkę, jako spółkę publiczną, obowiązku informacyjnego. Spółka zwraca uwagę, że jedynym wiarygodnym źródłem danych na temat sytuacji Spółki, prognoz, zdarzeń jej dotyczących, wyników finansowych oraz wskaźników są raporty bieżące i okresowe przekazywane przez Spółkę w ramach wykonywania obowiązków informacyjnych.</w:t>
      </w:r>
    </w:p>
    <w:p w:rsidR="00BF6313" w:rsidRDefault="00BF6313" w:rsidP="00DE398C">
      <w:pPr>
        <w:spacing w:line="312" w:lineRule="auto"/>
      </w:pPr>
    </w:p>
    <w:sectPr w:rsidR="00BF6313" w:rsidSect="00CC72B6">
      <w:headerReference w:type="default" r:id="rId8"/>
      <w:footerReference w:type="default" r:id="rId9"/>
      <w:head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BA" w:rsidRDefault="00E96FBA" w:rsidP="0056615F">
      <w:r>
        <w:separator/>
      </w:r>
    </w:p>
  </w:endnote>
  <w:endnote w:type="continuationSeparator" w:id="0">
    <w:p w:rsidR="00E96FBA" w:rsidRDefault="00E96FBA" w:rsidP="0056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2" w:rsidRDefault="00307712">
    <w:pPr>
      <w:pStyle w:val="Stopka"/>
    </w:pPr>
    <w:r>
      <w:t xml:space="preserve">Kontakt: Wojciech Sury, Rzecznik Prasowy Getin Holding S.A., tel.: </w:t>
    </w:r>
    <w:r w:rsidRPr="007343E9">
      <w:t>669 707 394</w:t>
    </w:r>
    <w:r>
      <w:rPr>
        <w:rFonts w:ascii="Calibri" w:hAnsi="Calibri" w:cs="Calibri"/>
        <w:color w:val="000000"/>
        <w:sz w:val="22"/>
        <w:szCs w:val="22"/>
      </w:rPr>
      <w:t xml:space="preserve"> </w:t>
    </w:r>
    <w:r>
      <w:t>w.sury@getin.pl</w:t>
    </w:r>
  </w:p>
  <w:p w:rsidR="00307712" w:rsidRDefault="003077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BA" w:rsidRDefault="00E96FBA" w:rsidP="0056615F">
      <w:r>
        <w:separator/>
      </w:r>
    </w:p>
  </w:footnote>
  <w:footnote w:type="continuationSeparator" w:id="0">
    <w:p w:rsidR="00E96FBA" w:rsidRDefault="00E96FBA" w:rsidP="0056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07712" w:rsidRPr="0056615F" w:rsidTr="00307712">
      <w:tc>
        <w:tcPr>
          <w:tcW w:w="4606" w:type="dxa"/>
        </w:tcPr>
        <w:p w:rsidR="00307712" w:rsidRPr="0056615F" w:rsidRDefault="00307712" w:rsidP="00307712">
          <w:pPr>
            <w:rPr>
              <w:rFonts w:ascii="Arial" w:hAnsi="Arial" w:cs="Arial"/>
              <w:sz w:val="16"/>
              <w:szCs w:val="16"/>
              <w:lang w:eastAsia="pl-PL"/>
            </w:rPr>
          </w:pPr>
          <w:r w:rsidRPr="0056615F">
            <w:rPr>
              <w:rFonts w:ascii="Arial" w:hAnsi="Arial" w:cs="Arial"/>
              <w:sz w:val="16"/>
              <w:szCs w:val="16"/>
              <w:lang w:eastAsia="pl-PL"/>
            </w:rPr>
            <w:t>Getin Holding S.A.</w:t>
          </w:r>
        </w:p>
        <w:p w:rsidR="00307712" w:rsidRPr="0056615F" w:rsidRDefault="00BC0D3D" w:rsidP="00307712">
          <w:pPr>
            <w:tabs>
              <w:tab w:val="center" w:pos="4680"/>
            </w:tabs>
            <w:rPr>
              <w:rFonts w:ascii="Arial" w:hAnsi="Arial" w:cs="Arial"/>
              <w:sz w:val="16"/>
              <w:szCs w:val="16"/>
              <w:lang w:eastAsia="pl-PL"/>
            </w:rPr>
          </w:pPr>
          <w:r w:rsidRPr="00BC0D3D">
            <w:rPr>
              <w:rFonts w:ascii="Arial" w:hAnsi="Arial" w:cs="Arial"/>
              <w:sz w:val="16"/>
              <w:szCs w:val="16"/>
              <w:lang w:eastAsia="pl-PL"/>
            </w:rPr>
            <w:t>ul. Gwiaździsta 66, 53-413 Wrocław</w:t>
          </w:r>
          <w:r w:rsidR="00307712" w:rsidRPr="0056615F">
            <w:rPr>
              <w:rFonts w:ascii="Arial" w:hAnsi="Arial" w:cs="Arial"/>
              <w:sz w:val="16"/>
              <w:szCs w:val="16"/>
              <w:lang w:eastAsia="pl-PL"/>
            </w:rPr>
            <w:tab/>
          </w:r>
        </w:p>
        <w:p w:rsidR="00307712" w:rsidRPr="0056615F" w:rsidRDefault="00307712" w:rsidP="00307712">
          <w:pPr>
            <w:rPr>
              <w:rFonts w:ascii="Arial" w:hAnsi="Arial" w:cs="Arial"/>
              <w:iCs/>
              <w:sz w:val="16"/>
              <w:szCs w:val="16"/>
              <w:lang w:eastAsia="pl-PL"/>
            </w:rPr>
          </w:pPr>
          <w:r w:rsidRPr="00BC0D3D">
            <w:rPr>
              <w:rFonts w:ascii="Arial" w:hAnsi="Arial" w:cs="Arial"/>
              <w:sz w:val="16"/>
              <w:szCs w:val="16"/>
              <w:lang w:eastAsia="pl-PL"/>
            </w:rPr>
            <w:t>Sąd Rejonowy we Wrocławiu VI Wydział</w:t>
          </w:r>
          <w:r w:rsidRPr="0056615F">
            <w:rPr>
              <w:rFonts w:ascii="Arial" w:hAnsi="Arial" w:cs="Arial"/>
              <w:iCs/>
              <w:sz w:val="16"/>
              <w:szCs w:val="16"/>
              <w:lang w:eastAsia="pl-PL"/>
            </w:rPr>
            <w:t xml:space="preserve"> Gospodarczy KRS, </w:t>
          </w:r>
        </w:p>
        <w:p w:rsidR="00697D10" w:rsidRDefault="00307712" w:rsidP="007927FF">
          <w:pPr>
            <w:rPr>
              <w:rFonts w:ascii="Arial" w:hAnsi="Arial" w:cs="Arial"/>
              <w:iCs/>
              <w:sz w:val="16"/>
              <w:szCs w:val="16"/>
              <w:lang w:val="en-US" w:eastAsia="pl-PL"/>
            </w:rPr>
          </w:pPr>
          <w:r w:rsidRPr="0056615F">
            <w:rPr>
              <w:rFonts w:ascii="Arial" w:hAnsi="Arial" w:cs="Arial"/>
              <w:iCs/>
              <w:sz w:val="16"/>
              <w:szCs w:val="16"/>
              <w:lang w:val="en-US" w:eastAsia="pl-PL"/>
            </w:rPr>
            <w:t>KRS 0000004335</w:t>
          </w:r>
        </w:p>
        <w:p w:rsidR="00307712" w:rsidRPr="007927FF" w:rsidRDefault="00307712" w:rsidP="007927FF">
          <w:pPr>
            <w:rPr>
              <w:rFonts w:ascii="Arial" w:hAnsi="Arial" w:cs="Arial"/>
              <w:iCs/>
              <w:sz w:val="16"/>
              <w:szCs w:val="16"/>
              <w:lang w:val="en-US" w:eastAsia="pl-PL"/>
            </w:rPr>
          </w:pPr>
          <w:r w:rsidRPr="007927FF">
            <w:rPr>
              <w:rFonts w:ascii="Arial" w:hAnsi="Arial" w:cs="Arial"/>
              <w:iCs/>
              <w:sz w:val="16"/>
              <w:szCs w:val="16"/>
              <w:lang w:val="en-US" w:eastAsia="pl-PL"/>
            </w:rPr>
            <w:t>NIP 895-16-94-236</w:t>
          </w:r>
        </w:p>
        <w:p w:rsidR="00307712" w:rsidRPr="0056615F" w:rsidRDefault="00E96FBA" w:rsidP="00307712">
          <w:pPr>
            <w:autoSpaceDE w:val="0"/>
            <w:autoSpaceDN w:val="0"/>
            <w:adjustRightInd w:val="0"/>
            <w:rPr>
              <w:rFonts w:ascii="Arial" w:hAnsi="Arial" w:cs="Arial"/>
              <w:sz w:val="16"/>
              <w:szCs w:val="16"/>
              <w:lang w:eastAsia="pl-PL"/>
            </w:rPr>
          </w:pPr>
          <w:hyperlink r:id="rId1" w:history="1">
            <w:r w:rsidR="00307712" w:rsidRPr="0056615F">
              <w:rPr>
                <w:rStyle w:val="Hipercze"/>
                <w:rFonts w:ascii="Arial" w:hAnsi="Arial" w:cs="Arial"/>
                <w:sz w:val="16"/>
                <w:szCs w:val="16"/>
                <w:lang w:eastAsia="pl-PL"/>
              </w:rPr>
              <w:t>www.getinholding.pl</w:t>
            </w:r>
          </w:hyperlink>
        </w:p>
        <w:p w:rsidR="00307712" w:rsidRPr="0056615F" w:rsidRDefault="00307712" w:rsidP="00307712">
          <w:pPr>
            <w:rPr>
              <w:rFonts w:ascii="Arial" w:hAnsi="Arial" w:cs="Arial"/>
              <w:sz w:val="16"/>
              <w:szCs w:val="16"/>
            </w:rPr>
          </w:pPr>
        </w:p>
      </w:tc>
      <w:tc>
        <w:tcPr>
          <w:tcW w:w="4606" w:type="dxa"/>
        </w:tcPr>
        <w:p w:rsidR="00307712" w:rsidRPr="0056615F" w:rsidRDefault="00307712" w:rsidP="00307712">
          <w:pPr>
            <w:jc w:val="right"/>
            <w:rPr>
              <w:rFonts w:ascii="Arial" w:hAnsi="Arial" w:cs="Arial"/>
              <w:sz w:val="16"/>
              <w:szCs w:val="16"/>
            </w:rPr>
          </w:pPr>
          <w:r w:rsidRPr="0056615F">
            <w:rPr>
              <w:rFonts w:ascii="Arial" w:hAnsi="Arial" w:cs="Arial"/>
              <w:noProof/>
              <w:sz w:val="16"/>
              <w:szCs w:val="16"/>
              <w:lang w:eastAsia="pl-PL"/>
            </w:rPr>
            <w:drawing>
              <wp:inline distT="0" distB="0" distL="0" distR="0">
                <wp:extent cx="1853514" cy="857250"/>
                <wp:effectExtent l="0" t="0" r="0" b="0"/>
                <wp:docPr id="1" name="Obraz 1" descr="D:\Users\mbninska\AppData\Local\Microsoft\Windows\Temporary Internet Files\Content.Outlook\MKPGDX0W\_hold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bninska\AppData\Local\Microsoft\Windows\Temporary Internet Files\Content.Outlook\MKPGDX0W\_hold_zna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14" cy="857250"/>
                        </a:xfrm>
                        <a:prstGeom prst="rect">
                          <a:avLst/>
                        </a:prstGeom>
                        <a:noFill/>
                        <a:ln>
                          <a:noFill/>
                        </a:ln>
                      </pic:spPr>
                    </pic:pic>
                  </a:graphicData>
                </a:graphic>
              </wp:inline>
            </w:drawing>
          </w:r>
        </w:p>
      </w:tc>
    </w:tr>
  </w:tbl>
  <w:p w:rsidR="00307712" w:rsidRDefault="003077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E3329" w:rsidRPr="0056615F" w:rsidTr="00BB371F">
      <w:tc>
        <w:tcPr>
          <w:tcW w:w="4606" w:type="dxa"/>
        </w:tcPr>
        <w:p w:rsidR="00CE3329" w:rsidRPr="0056615F" w:rsidRDefault="00CE3329" w:rsidP="00BB371F">
          <w:pPr>
            <w:rPr>
              <w:rFonts w:ascii="Arial" w:hAnsi="Arial" w:cs="Arial"/>
              <w:sz w:val="16"/>
              <w:szCs w:val="16"/>
              <w:lang w:eastAsia="pl-PL"/>
            </w:rPr>
          </w:pPr>
          <w:r w:rsidRPr="0056615F">
            <w:rPr>
              <w:rFonts w:ascii="Arial" w:hAnsi="Arial" w:cs="Arial"/>
              <w:sz w:val="16"/>
              <w:szCs w:val="16"/>
              <w:lang w:eastAsia="pl-PL"/>
            </w:rPr>
            <w:t>Getin Holding S.A.</w:t>
          </w:r>
        </w:p>
        <w:p w:rsidR="00CE3329" w:rsidRPr="0056615F" w:rsidRDefault="00CE3329" w:rsidP="00BB371F">
          <w:pPr>
            <w:tabs>
              <w:tab w:val="center" w:pos="4680"/>
            </w:tabs>
            <w:rPr>
              <w:rFonts w:ascii="Arial" w:hAnsi="Arial" w:cs="Arial"/>
              <w:sz w:val="16"/>
              <w:szCs w:val="16"/>
              <w:lang w:eastAsia="pl-PL"/>
            </w:rPr>
          </w:pPr>
          <w:r w:rsidRPr="00BC0D3D">
            <w:rPr>
              <w:rFonts w:ascii="Arial" w:hAnsi="Arial" w:cs="Arial"/>
              <w:sz w:val="16"/>
              <w:szCs w:val="16"/>
              <w:lang w:eastAsia="pl-PL"/>
            </w:rPr>
            <w:t>ul. Gwiaździsta 66, 53-413 Wrocław</w:t>
          </w:r>
          <w:r w:rsidRPr="0056615F">
            <w:rPr>
              <w:rFonts w:ascii="Arial" w:hAnsi="Arial" w:cs="Arial"/>
              <w:sz w:val="16"/>
              <w:szCs w:val="16"/>
              <w:lang w:eastAsia="pl-PL"/>
            </w:rPr>
            <w:tab/>
          </w:r>
        </w:p>
        <w:p w:rsidR="00CE3329" w:rsidRPr="0056615F" w:rsidRDefault="00CE3329" w:rsidP="00BB371F">
          <w:pPr>
            <w:rPr>
              <w:rFonts w:ascii="Arial" w:hAnsi="Arial" w:cs="Arial"/>
              <w:iCs/>
              <w:sz w:val="16"/>
              <w:szCs w:val="16"/>
              <w:lang w:eastAsia="pl-PL"/>
            </w:rPr>
          </w:pPr>
          <w:r w:rsidRPr="00BC0D3D">
            <w:rPr>
              <w:rFonts w:ascii="Arial" w:hAnsi="Arial" w:cs="Arial"/>
              <w:sz w:val="16"/>
              <w:szCs w:val="16"/>
              <w:lang w:eastAsia="pl-PL"/>
            </w:rPr>
            <w:t>Sąd Rejonowy we Wrocławiu VI Wydział</w:t>
          </w:r>
          <w:r w:rsidRPr="0056615F">
            <w:rPr>
              <w:rFonts w:ascii="Arial" w:hAnsi="Arial" w:cs="Arial"/>
              <w:iCs/>
              <w:sz w:val="16"/>
              <w:szCs w:val="16"/>
              <w:lang w:eastAsia="pl-PL"/>
            </w:rPr>
            <w:t xml:space="preserve"> Gospodarczy KRS, </w:t>
          </w:r>
        </w:p>
        <w:p w:rsidR="00CE3329" w:rsidRDefault="00CE3329" w:rsidP="00BB371F">
          <w:pPr>
            <w:rPr>
              <w:rFonts w:ascii="Arial" w:hAnsi="Arial" w:cs="Arial"/>
              <w:iCs/>
              <w:sz w:val="16"/>
              <w:szCs w:val="16"/>
              <w:lang w:val="en-US" w:eastAsia="pl-PL"/>
            </w:rPr>
          </w:pPr>
          <w:r w:rsidRPr="0056615F">
            <w:rPr>
              <w:rFonts w:ascii="Arial" w:hAnsi="Arial" w:cs="Arial"/>
              <w:iCs/>
              <w:sz w:val="16"/>
              <w:szCs w:val="16"/>
              <w:lang w:val="en-US" w:eastAsia="pl-PL"/>
            </w:rPr>
            <w:t>KRS 0000004335</w:t>
          </w:r>
        </w:p>
        <w:p w:rsidR="00CE3329" w:rsidRPr="007927FF" w:rsidRDefault="00CE3329" w:rsidP="00BB371F">
          <w:pPr>
            <w:rPr>
              <w:rFonts w:ascii="Arial" w:hAnsi="Arial" w:cs="Arial"/>
              <w:iCs/>
              <w:sz w:val="16"/>
              <w:szCs w:val="16"/>
              <w:lang w:val="en-US" w:eastAsia="pl-PL"/>
            </w:rPr>
          </w:pPr>
          <w:r w:rsidRPr="007927FF">
            <w:rPr>
              <w:rFonts w:ascii="Arial" w:hAnsi="Arial" w:cs="Arial"/>
              <w:iCs/>
              <w:sz w:val="16"/>
              <w:szCs w:val="16"/>
              <w:lang w:val="en-US" w:eastAsia="pl-PL"/>
            </w:rPr>
            <w:t>NIP 895-16-94-236</w:t>
          </w:r>
        </w:p>
        <w:p w:rsidR="00CE3329" w:rsidRPr="0056615F" w:rsidRDefault="00E96FBA" w:rsidP="00BB371F">
          <w:pPr>
            <w:autoSpaceDE w:val="0"/>
            <w:autoSpaceDN w:val="0"/>
            <w:adjustRightInd w:val="0"/>
            <w:rPr>
              <w:rFonts w:ascii="Arial" w:hAnsi="Arial" w:cs="Arial"/>
              <w:sz w:val="16"/>
              <w:szCs w:val="16"/>
              <w:lang w:eastAsia="pl-PL"/>
            </w:rPr>
          </w:pPr>
          <w:hyperlink r:id="rId1" w:history="1">
            <w:r w:rsidR="00CE3329" w:rsidRPr="0056615F">
              <w:rPr>
                <w:rStyle w:val="Hipercze"/>
                <w:rFonts w:ascii="Arial" w:hAnsi="Arial" w:cs="Arial"/>
                <w:sz w:val="16"/>
                <w:szCs w:val="16"/>
                <w:lang w:eastAsia="pl-PL"/>
              </w:rPr>
              <w:t>www.getinholding.pl</w:t>
            </w:r>
          </w:hyperlink>
        </w:p>
        <w:p w:rsidR="00CE3329" w:rsidRPr="0056615F" w:rsidRDefault="00CE3329" w:rsidP="00BB371F">
          <w:pPr>
            <w:rPr>
              <w:rFonts w:ascii="Arial" w:hAnsi="Arial" w:cs="Arial"/>
              <w:sz w:val="16"/>
              <w:szCs w:val="16"/>
            </w:rPr>
          </w:pPr>
        </w:p>
      </w:tc>
      <w:tc>
        <w:tcPr>
          <w:tcW w:w="4606" w:type="dxa"/>
        </w:tcPr>
        <w:p w:rsidR="00CE3329" w:rsidRPr="0056615F" w:rsidRDefault="00CE3329" w:rsidP="00BB371F">
          <w:pPr>
            <w:jc w:val="right"/>
            <w:rPr>
              <w:rFonts w:ascii="Arial" w:hAnsi="Arial" w:cs="Arial"/>
              <w:sz w:val="16"/>
              <w:szCs w:val="16"/>
            </w:rPr>
          </w:pPr>
          <w:r w:rsidRPr="0056615F">
            <w:rPr>
              <w:rFonts w:ascii="Arial" w:hAnsi="Arial" w:cs="Arial"/>
              <w:noProof/>
              <w:sz w:val="16"/>
              <w:szCs w:val="16"/>
              <w:lang w:eastAsia="pl-PL"/>
            </w:rPr>
            <w:drawing>
              <wp:inline distT="0" distB="0" distL="0" distR="0" wp14:anchorId="1F9EB1B4" wp14:editId="261416A4">
                <wp:extent cx="1853514" cy="857250"/>
                <wp:effectExtent l="0" t="0" r="0" b="0"/>
                <wp:docPr id="3" name="Obraz 3" descr="D:\Users\mbninska\AppData\Local\Microsoft\Windows\Temporary Internet Files\Content.Outlook\MKPGDX0W\_hold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bninska\AppData\Local\Microsoft\Windows\Temporary Internet Files\Content.Outlook\MKPGDX0W\_hold_zna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14" cy="857250"/>
                        </a:xfrm>
                        <a:prstGeom prst="rect">
                          <a:avLst/>
                        </a:prstGeom>
                        <a:noFill/>
                        <a:ln>
                          <a:noFill/>
                        </a:ln>
                      </pic:spPr>
                    </pic:pic>
                  </a:graphicData>
                </a:graphic>
              </wp:inline>
            </w:drawing>
          </w:r>
        </w:p>
      </w:tc>
    </w:tr>
  </w:tbl>
  <w:p w:rsidR="00CE3329" w:rsidRDefault="00CE33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615F"/>
    <w:rsid w:val="0000058A"/>
    <w:rsid w:val="00001655"/>
    <w:rsid w:val="0000199E"/>
    <w:rsid w:val="000052C8"/>
    <w:rsid w:val="00010AE0"/>
    <w:rsid w:val="00011AC8"/>
    <w:rsid w:val="00016825"/>
    <w:rsid w:val="0002167F"/>
    <w:rsid w:val="000238B0"/>
    <w:rsid w:val="00024FF2"/>
    <w:rsid w:val="00026CB7"/>
    <w:rsid w:val="00040866"/>
    <w:rsid w:val="00044036"/>
    <w:rsid w:val="00044471"/>
    <w:rsid w:val="00053D04"/>
    <w:rsid w:val="00066622"/>
    <w:rsid w:val="0007153F"/>
    <w:rsid w:val="00073470"/>
    <w:rsid w:val="00076F23"/>
    <w:rsid w:val="00077B4F"/>
    <w:rsid w:val="000802A8"/>
    <w:rsid w:val="00081118"/>
    <w:rsid w:val="00085FAC"/>
    <w:rsid w:val="00085FD5"/>
    <w:rsid w:val="000A140C"/>
    <w:rsid w:val="000A1837"/>
    <w:rsid w:val="000A1D99"/>
    <w:rsid w:val="000A35C3"/>
    <w:rsid w:val="000A76AA"/>
    <w:rsid w:val="000B0531"/>
    <w:rsid w:val="000B4417"/>
    <w:rsid w:val="000C1977"/>
    <w:rsid w:val="000C60C6"/>
    <w:rsid w:val="000C646C"/>
    <w:rsid w:val="000C7C47"/>
    <w:rsid w:val="000D6129"/>
    <w:rsid w:val="000D6927"/>
    <w:rsid w:val="000D79DB"/>
    <w:rsid w:val="000E1A40"/>
    <w:rsid w:val="000E5C4E"/>
    <w:rsid w:val="000E75C9"/>
    <w:rsid w:val="000F2DDC"/>
    <w:rsid w:val="000F3419"/>
    <w:rsid w:val="000F73F1"/>
    <w:rsid w:val="00100FE9"/>
    <w:rsid w:val="00102C83"/>
    <w:rsid w:val="00106139"/>
    <w:rsid w:val="00111228"/>
    <w:rsid w:val="001128F6"/>
    <w:rsid w:val="00112E84"/>
    <w:rsid w:val="00114DBA"/>
    <w:rsid w:val="0013265A"/>
    <w:rsid w:val="00136061"/>
    <w:rsid w:val="00144A40"/>
    <w:rsid w:val="00146F18"/>
    <w:rsid w:val="00151E70"/>
    <w:rsid w:val="001604B0"/>
    <w:rsid w:val="00166696"/>
    <w:rsid w:val="001675FF"/>
    <w:rsid w:val="001739CB"/>
    <w:rsid w:val="00176B34"/>
    <w:rsid w:val="00177F74"/>
    <w:rsid w:val="00185186"/>
    <w:rsid w:val="00191DE7"/>
    <w:rsid w:val="00196500"/>
    <w:rsid w:val="001A3FD4"/>
    <w:rsid w:val="001A79EE"/>
    <w:rsid w:val="001B0301"/>
    <w:rsid w:val="001B19B8"/>
    <w:rsid w:val="001B6258"/>
    <w:rsid w:val="001B6EB8"/>
    <w:rsid w:val="001C0E0E"/>
    <w:rsid w:val="001C36BE"/>
    <w:rsid w:val="001C37B1"/>
    <w:rsid w:val="001C581A"/>
    <w:rsid w:val="001C73A2"/>
    <w:rsid w:val="001D00BE"/>
    <w:rsid w:val="001D15D8"/>
    <w:rsid w:val="001D270D"/>
    <w:rsid w:val="001D3C0D"/>
    <w:rsid w:val="001D55BE"/>
    <w:rsid w:val="001E3E29"/>
    <w:rsid w:val="001E4DDF"/>
    <w:rsid w:val="001E51F1"/>
    <w:rsid w:val="001E7F19"/>
    <w:rsid w:val="001F0528"/>
    <w:rsid w:val="001F1B4E"/>
    <w:rsid w:val="001F61D7"/>
    <w:rsid w:val="001F70BD"/>
    <w:rsid w:val="00207E05"/>
    <w:rsid w:val="002112FE"/>
    <w:rsid w:val="00214C2A"/>
    <w:rsid w:val="00216651"/>
    <w:rsid w:val="00224456"/>
    <w:rsid w:val="00224CFE"/>
    <w:rsid w:val="00232D81"/>
    <w:rsid w:val="00233798"/>
    <w:rsid w:val="00234EAB"/>
    <w:rsid w:val="0023554A"/>
    <w:rsid w:val="002405AC"/>
    <w:rsid w:val="00246D94"/>
    <w:rsid w:val="00252C49"/>
    <w:rsid w:val="00254F83"/>
    <w:rsid w:val="002624A7"/>
    <w:rsid w:val="002628C4"/>
    <w:rsid w:val="00271E15"/>
    <w:rsid w:val="00272F26"/>
    <w:rsid w:val="0028264B"/>
    <w:rsid w:val="00285AAD"/>
    <w:rsid w:val="00294705"/>
    <w:rsid w:val="0029680D"/>
    <w:rsid w:val="002A16E8"/>
    <w:rsid w:val="002A32D8"/>
    <w:rsid w:val="002A46AC"/>
    <w:rsid w:val="002B09F8"/>
    <w:rsid w:val="002B110E"/>
    <w:rsid w:val="002C2889"/>
    <w:rsid w:val="002C4418"/>
    <w:rsid w:val="002C6154"/>
    <w:rsid w:val="002D03B6"/>
    <w:rsid w:val="002D0648"/>
    <w:rsid w:val="002D3511"/>
    <w:rsid w:val="002D467B"/>
    <w:rsid w:val="002D6F6D"/>
    <w:rsid w:val="002E2F3D"/>
    <w:rsid w:val="002E5F3D"/>
    <w:rsid w:val="002E608D"/>
    <w:rsid w:val="002E70C7"/>
    <w:rsid w:val="002F34E6"/>
    <w:rsid w:val="002F5B12"/>
    <w:rsid w:val="002F74C0"/>
    <w:rsid w:val="0030032E"/>
    <w:rsid w:val="003029EA"/>
    <w:rsid w:val="00303615"/>
    <w:rsid w:val="003071D3"/>
    <w:rsid w:val="00307712"/>
    <w:rsid w:val="00310364"/>
    <w:rsid w:val="00314496"/>
    <w:rsid w:val="00320F17"/>
    <w:rsid w:val="0032107B"/>
    <w:rsid w:val="003273CD"/>
    <w:rsid w:val="003304F7"/>
    <w:rsid w:val="00330D53"/>
    <w:rsid w:val="00331252"/>
    <w:rsid w:val="003318B3"/>
    <w:rsid w:val="00336DF4"/>
    <w:rsid w:val="00345F59"/>
    <w:rsid w:val="0035116F"/>
    <w:rsid w:val="003526A7"/>
    <w:rsid w:val="00354006"/>
    <w:rsid w:val="003576F8"/>
    <w:rsid w:val="00357971"/>
    <w:rsid w:val="0036149A"/>
    <w:rsid w:val="0036208F"/>
    <w:rsid w:val="00364C0A"/>
    <w:rsid w:val="003677A5"/>
    <w:rsid w:val="00367946"/>
    <w:rsid w:val="003723E0"/>
    <w:rsid w:val="00373004"/>
    <w:rsid w:val="0037679B"/>
    <w:rsid w:val="00377182"/>
    <w:rsid w:val="00377C00"/>
    <w:rsid w:val="003853F3"/>
    <w:rsid w:val="00385A2E"/>
    <w:rsid w:val="00385EB9"/>
    <w:rsid w:val="0039500A"/>
    <w:rsid w:val="003A0452"/>
    <w:rsid w:val="003A2350"/>
    <w:rsid w:val="003A393F"/>
    <w:rsid w:val="003A76E1"/>
    <w:rsid w:val="003B0471"/>
    <w:rsid w:val="003B2D5C"/>
    <w:rsid w:val="003C0341"/>
    <w:rsid w:val="003C5F9D"/>
    <w:rsid w:val="003C6F14"/>
    <w:rsid w:val="003D46A8"/>
    <w:rsid w:val="003E56AE"/>
    <w:rsid w:val="003E6850"/>
    <w:rsid w:val="003E7053"/>
    <w:rsid w:val="003E7B8E"/>
    <w:rsid w:val="003F3804"/>
    <w:rsid w:val="003F3F6B"/>
    <w:rsid w:val="003F6939"/>
    <w:rsid w:val="00410C80"/>
    <w:rsid w:val="00420AD4"/>
    <w:rsid w:val="00431539"/>
    <w:rsid w:val="004334C8"/>
    <w:rsid w:val="004377F1"/>
    <w:rsid w:val="0044014E"/>
    <w:rsid w:val="00440900"/>
    <w:rsid w:val="004415EA"/>
    <w:rsid w:val="00442112"/>
    <w:rsid w:val="00444F3C"/>
    <w:rsid w:val="0044547B"/>
    <w:rsid w:val="00447BBA"/>
    <w:rsid w:val="00451718"/>
    <w:rsid w:val="00456161"/>
    <w:rsid w:val="00463B7F"/>
    <w:rsid w:val="004667A1"/>
    <w:rsid w:val="00466CC4"/>
    <w:rsid w:val="00477F7E"/>
    <w:rsid w:val="00480095"/>
    <w:rsid w:val="0048027B"/>
    <w:rsid w:val="004827CD"/>
    <w:rsid w:val="004828B9"/>
    <w:rsid w:val="004831FA"/>
    <w:rsid w:val="00485F97"/>
    <w:rsid w:val="00492FC3"/>
    <w:rsid w:val="004960EA"/>
    <w:rsid w:val="004972D5"/>
    <w:rsid w:val="0049741D"/>
    <w:rsid w:val="004A08E2"/>
    <w:rsid w:val="004A36A6"/>
    <w:rsid w:val="004B0BEC"/>
    <w:rsid w:val="004B35E1"/>
    <w:rsid w:val="004B47CF"/>
    <w:rsid w:val="004B6D8E"/>
    <w:rsid w:val="004C0B7F"/>
    <w:rsid w:val="004C16A9"/>
    <w:rsid w:val="004C3F61"/>
    <w:rsid w:val="004D1098"/>
    <w:rsid w:val="004D27A0"/>
    <w:rsid w:val="004D64C0"/>
    <w:rsid w:val="004D6E51"/>
    <w:rsid w:val="004E0DF1"/>
    <w:rsid w:val="004E45F3"/>
    <w:rsid w:val="004E6CE9"/>
    <w:rsid w:val="004F0D84"/>
    <w:rsid w:val="004F111C"/>
    <w:rsid w:val="004F5425"/>
    <w:rsid w:val="00503D5B"/>
    <w:rsid w:val="0050466C"/>
    <w:rsid w:val="0051348B"/>
    <w:rsid w:val="005155CF"/>
    <w:rsid w:val="00521355"/>
    <w:rsid w:val="00522428"/>
    <w:rsid w:val="00526EA2"/>
    <w:rsid w:val="00531FB0"/>
    <w:rsid w:val="00534A1C"/>
    <w:rsid w:val="00541D1D"/>
    <w:rsid w:val="00551BBB"/>
    <w:rsid w:val="0055213E"/>
    <w:rsid w:val="00554F0D"/>
    <w:rsid w:val="005613F1"/>
    <w:rsid w:val="00563664"/>
    <w:rsid w:val="00563FA4"/>
    <w:rsid w:val="0056615F"/>
    <w:rsid w:val="005669A5"/>
    <w:rsid w:val="005728B5"/>
    <w:rsid w:val="00573631"/>
    <w:rsid w:val="005760C4"/>
    <w:rsid w:val="005812BD"/>
    <w:rsid w:val="005833DD"/>
    <w:rsid w:val="00585058"/>
    <w:rsid w:val="00590255"/>
    <w:rsid w:val="005930B1"/>
    <w:rsid w:val="005961E5"/>
    <w:rsid w:val="00596229"/>
    <w:rsid w:val="00597CF6"/>
    <w:rsid w:val="00597FC2"/>
    <w:rsid w:val="005A120D"/>
    <w:rsid w:val="005A17BE"/>
    <w:rsid w:val="005A19D9"/>
    <w:rsid w:val="005A3C43"/>
    <w:rsid w:val="005A5273"/>
    <w:rsid w:val="005A56F0"/>
    <w:rsid w:val="005B18EF"/>
    <w:rsid w:val="005B32DC"/>
    <w:rsid w:val="005B7B3E"/>
    <w:rsid w:val="005C7A85"/>
    <w:rsid w:val="005D44CB"/>
    <w:rsid w:val="005D4AC5"/>
    <w:rsid w:val="005D6167"/>
    <w:rsid w:val="005E051A"/>
    <w:rsid w:val="005E318C"/>
    <w:rsid w:val="005E3B04"/>
    <w:rsid w:val="005F1625"/>
    <w:rsid w:val="005F28D9"/>
    <w:rsid w:val="005F5CD6"/>
    <w:rsid w:val="00604E65"/>
    <w:rsid w:val="0062185C"/>
    <w:rsid w:val="00621A7D"/>
    <w:rsid w:val="0062417C"/>
    <w:rsid w:val="00624D00"/>
    <w:rsid w:val="00626366"/>
    <w:rsid w:val="00631A45"/>
    <w:rsid w:val="00632762"/>
    <w:rsid w:val="00633F4E"/>
    <w:rsid w:val="00634031"/>
    <w:rsid w:val="00634536"/>
    <w:rsid w:val="00635377"/>
    <w:rsid w:val="00635A65"/>
    <w:rsid w:val="0063664E"/>
    <w:rsid w:val="00640541"/>
    <w:rsid w:val="00650B1D"/>
    <w:rsid w:val="006570FE"/>
    <w:rsid w:val="00660A2A"/>
    <w:rsid w:val="006638B4"/>
    <w:rsid w:val="00663C5E"/>
    <w:rsid w:val="00666082"/>
    <w:rsid w:val="00673050"/>
    <w:rsid w:val="00673466"/>
    <w:rsid w:val="006872FD"/>
    <w:rsid w:val="00687D76"/>
    <w:rsid w:val="006901A3"/>
    <w:rsid w:val="006956BE"/>
    <w:rsid w:val="00697D10"/>
    <w:rsid w:val="006A2747"/>
    <w:rsid w:val="006A7630"/>
    <w:rsid w:val="006B05A3"/>
    <w:rsid w:val="006B25AD"/>
    <w:rsid w:val="006B3F14"/>
    <w:rsid w:val="006C024D"/>
    <w:rsid w:val="006C33DA"/>
    <w:rsid w:val="006C508C"/>
    <w:rsid w:val="006C6E92"/>
    <w:rsid w:val="006D0344"/>
    <w:rsid w:val="006D73EA"/>
    <w:rsid w:val="006E3E9B"/>
    <w:rsid w:val="006E4407"/>
    <w:rsid w:val="006F3F21"/>
    <w:rsid w:val="006F4892"/>
    <w:rsid w:val="00700A64"/>
    <w:rsid w:val="0070410A"/>
    <w:rsid w:val="007110A0"/>
    <w:rsid w:val="007149F4"/>
    <w:rsid w:val="00714AFB"/>
    <w:rsid w:val="00715F62"/>
    <w:rsid w:val="00716F24"/>
    <w:rsid w:val="0072007E"/>
    <w:rsid w:val="00720C28"/>
    <w:rsid w:val="0072241D"/>
    <w:rsid w:val="00725698"/>
    <w:rsid w:val="00726632"/>
    <w:rsid w:val="00731682"/>
    <w:rsid w:val="0073436D"/>
    <w:rsid w:val="007343E9"/>
    <w:rsid w:val="00737FBB"/>
    <w:rsid w:val="00742AA5"/>
    <w:rsid w:val="00746875"/>
    <w:rsid w:val="007527F8"/>
    <w:rsid w:val="00756CDE"/>
    <w:rsid w:val="007579A3"/>
    <w:rsid w:val="00762A92"/>
    <w:rsid w:val="007640DB"/>
    <w:rsid w:val="0076703A"/>
    <w:rsid w:val="0077710B"/>
    <w:rsid w:val="00781EB4"/>
    <w:rsid w:val="00790B01"/>
    <w:rsid w:val="007927FF"/>
    <w:rsid w:val="0079763F"/>
    <w:rsid w:val="0079776F"/>
    <w:rsid w:val="007A0A6A"/>
    <w:rsid w:val="007A527E"/>
    <w:rsid w:val="007B0C17"/>
    <w:rsid w:val="007B5B91"/>
    <w:rsid w:val="007C1AAD"/>
    <w:rsid w:val="007C5725"/>
    <w:rsid w:val="007C6829"/>
    <w:rsid w:val="007D28D3"/>
    <w:rsid w:val="007D35FD"/>
    <w:rsid w:val="007D614F"/>
    <w:rsid w:val="007D7398"/>
    <w:rsid w:val="007E3087"/>
    <w:rsid w:val="007F28CD"/>
    <w:rsid w:val="007F414E"/>
    <w:rsid w:val="007F527D"/>
    <w:rsid w:val="008032EC"/>
    <w:rsid w:val="008104E9"/>
    <w:rsid w:val="00810ED0"/>
    <w:rsid w:val="0081100A"/>
    <w:rsid w:val="00811B65"/>
    <w:rsid w:val="008155BE"/>
    <w:rsid w:val="00826BD7"/>
    <w:rsid w:val="008276FF"/>
    <w:rsid w:val="00830279"/>
    <w:rsid w:val="0083122F"/>
    <w:rsid w:val="00831849"/>
    <w:rsid w:val="00832527"/>
    <w:rsid w:val="00836155"/>
    <w:rsid w:val="00851511"/>
    <w:rsid w:val="00852535"/>
    <w:rsid w:val="00853D0F"/>
    <w:rsid w:val="00857F1D"/>
    <w:rsid w:val="00867B66"/>
    <w:rsid w:val="008705F5"/>
    <w:rsid w:val="00870CF0"/>
    <w:rsid w:val="00874F86"/>
    <w:rsid w:val="00875028"/>
    <w:rsid w:val="00875B1C"/>
    <w:rsid w:val="0087681A"/>
    <w:rsid w:val="008869C9"/>
    <w:rsid w:val="00890345"/>
    <w:rsid w:val="00890DF7"/>
    <w:rsid w:val="00893AFE"/>
    <w:rsid w:val="008966D5"/>
    <w:rsid w:val="00897349"/>
    <w:rsid w:val="008A5DCB"/>
    <w:rsid w:val="008B0806"/>
    <w:rsid w:val="008B14EC"/>
    <w:rsid w:val="008B468D"/>
    <w:rsid w:val="008B54E7"/>
    <w:rsid w:val="008B793A"/>
    <w:rsid w:val="008B7D50"/>
    <w:rsid w:val="008C3EC0"/>
    <w:rsid w:val="008C66A0"/>
    <w:rsid w:val="008D2C80"/>
    <w:rsid w:val="008D31D3"/>
    <w:rsid w:val="008E0C97"/>
    <w:rsid w:val="008E13B3"/>
    <w:rsid w:val="008E2682"/>
    <w:rsid w:val="008F0C82"/>
    <w:rsid w:val="008F2B8E"/>
    <w:rsid w:val="0090094F"/>
    <w:rsid w:val="00903DD6"/>
    <w:rsid w:val="00904D08"/>
    <w:rsid w:val="009100FC"/>
    <w:rsid w:val="00912101"/>
    <w:rsid w:val="00912579"/>
    <w:rsid w:val="00920D9F"/>
    <w:rsid w:val="00926AB0"/>
    <w:rsid w:val="00926EAF"/>
    <w:rsid w:val="0094341F"/>
    <w:rsid w:val="00950AE1"/>
    <w:rsid w:val="0095686B"/>
    <w:rsid w:val="00961446"/>
    <w:rsid w:val="009627D7"/>
    <w:rsid w:val="00977221"/>
    <w:rsid w:val="00977F94"/>
    <w:rsid w:val="009827B8"/>
    <w:rsid w:val="00982CB6"/>
    <w:rsid w:val="00986C04"/>
    <w:rsid w:val="009873FE"/>
    <w:rsid w:val="009909A9"/>
    <w:rsid w:val="009936CE"/>
    <w:rsid w:val="009A1B1D"/>
    <w:rsid w:val="009A55C7"/>
    <w:rsid w:val="009B39E3"/>
    <w:rsid w:val="009B46B3"/>
    <w:rsid w:val="009C62A0"/>
    <w:rsid w:val="009D132A"/>
    <w:rsid w:val="009D3826"/>
    <w:rsid w:val="009D48E6"/>
    <w:rsid w:val="009E3871"/>
    <w:rsid w:val="009F4DCB"/>
    <w:rsid w:val="009F7E87"/>
    <w:rsid w:val="00A03EA7"/>
    <w:rsid w:val="00A04AFF"/>
    <w:rsid w:val="00A05F3E"/>
    <w:rsid w:val="00A06460"/>
    <w:rsid w:val="00A07989"/>
    <w:rsid w:val="00A07FEA"/>
    <w:rsid w:val="00A122FB"/>
    <w:rsid w:val="00A13C58"/>
    <w:rsid w:val="00A25856"/>
    <w:rsid w:val="00A27EEA"/>
    <w:rsid w:val="00A30CFF"/>
    <w:rsid w:val="00A34AE2"/>
    <w:rsid w:val="00A34DB6"/>
    <w:rsid w:val="00A40243"/>
    <w:rsid w:val="00A4133B"/>
    <w:rsid w:val="00A415B1"/>
    <w:rsid w:val="00A4179B"/>
    <w:rsid w:val="00A4595E"/>
    <w:rsid w:val="00A50BA7"/>
    <w:rsid w:val="00A573DE"/>
    <w:rsid w:val="00A57A56"/>
    <w:rsid w:val="00A613E7"/>
    <w:rsid w:val="00A633B3"/>
    <w:rsid w:val="00A6378C"/>
    <w:rsid w:val="00A75DF2"/>
    <w:rsid w:val="00A87472"/>
    <w:rsid w:val="00A9117E"/>
    <w:rsid w:val="00A94D54"/>
    <w:rsid w:val="00AA230B"/>
    <w:rsid w:val="00AA2EFF"/>
    <w:rsid w:val="00AA33CF"/>
    <w:rsid w:val="00AA777A"/>
    <w:rsid w:val="00AB073C"/>
    <w:rsid w:val="00AB2DFC"/>
    <w:rsid w:val="00AC1829"/>
    <w:rsid w:val="00AC4B64"/>
    <w:rsid w:val="00AC4DCD"/>
    <w:rsid w:val="00AC5B57"/>
    <w:rsid w:val="00AD1BCB"/>
    <w:rsid w:val="00AD2296"/>
    <w:rsid w:val="00AD4110"/>
    <w:rsid w:val="00AD4ED2"/>
    <w:rsid w:val="00AD537F"/>
    <w:rsid w:val="00AE3CFF"/>
    <w:rsid w:val="00AF4580"/>
    <w:rsid w:val="00B048E5"/>
    <w:rsid w:val="00B04F43"/>
    <w:rsid w:val="00B13AAE"/>
    <w:rsid w:val="00B1742A"/>
    <w:rsid w:val="00B35ACA"/>
    <w:rsid w:val="00B42FC1"/>
    <w:rsid w:val="00B5152A"/>
    <w:rsid w:val="00B527B1"/>
    <w:rsid w:val="00B52967"/>
    <w:rsid w:val="00B575E5"/>
    <w:rsid w:val="00B576E4"/>
    <w:rsid w:val="00B6038D"/>
    <w:rsid w:val="00B60F45"/>
    <w:rsid w:val="00B708D8"/>
    <w:rsid w:val="00B727B2"/>
    <w:rsid w:val="00B83A42"/>
    <w:rsid w:val="00B949D7"/>
    <w:rsid w:val="00B95CC2"/>
    <w:rsid w:val="00B97605"/>
    <w:rsid w:val="00BA0814"/>
    <w:rsid w:val="00BA2092"/>
    <w:rsid w:val="00BA4B42"/>
    <w:rsid w:val="00BA7580"/>
    <w:rsid w:val="00BB0A9A"/>
    <w:rsid w:val="00BB1130"/>
    <w:rsid w:val="00BB32D7"/>
    <w:rsid w:val="00BB5790"/>
    <w:rsid w:val="00BB68AF"/>
    <w:rsid w:val="00BC0D3D"/>
    <w:rsid w:val="00BC13AE"/>
    <w:rsid w:val="00BC1F4F"/>
    <w:rsid w:val="00BC2916"/>
    <w:rsid w:val="00BC3559"/>
    <w:rsid w:val="00BC4A28"/>
    <w:rsid w:val="00BC7F59"/>
    <w:rsid w:val="00BD260A"/>
    <w:rsid w:val="00BD3782"/>
    <w:rsid w:val="00BE25E5"/>
    <w:rsid w:val="00BF0126"/>
    <w:rsid w:val="00BF6313"/>
    <w:rsid w:val="00BF67EB"/>
    <w:rsid w:val="00BF73E8"/>
    <w:rsid w:val="00C00170"/>
    <w:rsid w:val="00C00F21"/>
    <w:rsid w:val="00C04B07"/>
    <w:rsid w:val="00C05FBD"/>
    <w:rsid w:val="00C10CA0"/>
    <w:rsid w:val="00C11FD4"/>
    <w:rsid w:val="00C12413"/>
    <w:rsid w:val="00C16C3C"/>
    <w:rsid w:val="00C2091B"/>
    <w:rsid w:val="00C25F2B"/>
    <w:rsid w:val="00C266FF"/>
    <w:rsid w:val="00C3250D"/>
    <w:rsid w:val="00C32730"/>
    <w:rsid w:val="00C3419C"/>
    <w:rsid w:val="00C35A29"/>
    <w:rsid w:val="00C35D59"/>
    <w:rsid w:val="00C40036"/>
    <w:rsid w:val="00C4072D"/>
    <w:rsid w:val="00C44000"/>
    <w:rsid w:val="00C45428"/>
    <w:rsid w:val="00C506BD"/>
    <w:rsid w:val="00C52542"/>
    <w:rsid w:val="00C648B6"/>
    <w:rsid w:val="00C660B9"/>
    <w:rsid w:val="00C73755"/>
    <w:rsid w:val="00C75516"/>
    <w:rsid w:val="00C8131B"/>
    <w:rsid w:val="00C8465E"/>
    <w:rsid w:val="00C8697E"/>
    <w:rsid w:val="00C86D91"/>
    <w:rsid w:val="00C92820"/>
    <w:rsid w:val="00C94637"/>
    <w:rsid w:val="00C948D8"/>
    <w:rsid w:val="00C95707"/>
    <w:rsid w:val="00C9719B"/>
    <w:rsid w:val="00C97CF1"/>
    <w:rsid w:val="00CA56B6"/>
    <w:rsid w:val="00CB1014"/>
    <w:rsid w:val="00CB72FA"/>
    <w:rsid w:val="00CC066C"/>
    <w:rsid w:val="00CC33D6"/>
    <w:rsid w:val="00CC65C7"/>
    <w:rsid w:val="00CC72B6"/>
    <w:rsid w:val="00CD0023"/>
    <w:rsid w:val="00CD1A4C"/>
    <w:rsid w:val="00CD3543"/>
    <w:rsid w:val="00CD48A5"/>
    <w:rsid w:val="00CD5C82"/>
    <w:rsid w:val="00CD7336"/>
    <w:rsid w:val="00CE18EE"/>
    <w:rsid w:val="00CE3329"/>
    <w:rsid w:val="00CE3A87"/>
    <w:rsid w:val="00CE551E"/>
    <w:rsid w:val="00CE5C73"/>
    <w:rsid w:val="00CF0601"/>
    <w:rsid w:val="00CF218A"/>
    <w:rsid w:val="00CF3653"/>
    <w:rsid w:val="00D04E31"/>
    <w:rsid w:val="00D05D82"/>
    <w:rsid w:val="00D05EE5"/>
    <w:rsid w:val="00D076C2"/>
    <w:rsid w:val="00D122BB"/>
    <w:rsid w:val="00D13EC2"/>
    <w:rsid w:val="00D14B71"/>
    <w:rsid w:val="00D21200"/>
    <w:rsid w:val="00D245A1"/>
    <w:rsid w:val="00D31E9A"/>
    <w:rsid w:val="00D31FE7"/>
    <w:rsid w:val="00D32626"/>
    <w:rsid w:val="00D33848"/>
    <w:rsid w:val="00D34A26"/>
    <w:rsid w:val="00D34A87"/>
    <w:rsid w:val="00D5151D"/>
    <w:rsid w:val="00D5186D"/>
    <w:rsid w:val="00D51F45"/>
    <w:rsid w:val="00D55288"/>
    <w:rsid w:val="00D60971"/>
    <w:rsid w:val="00D61B6D"/>
    <w:rsid w:val="00D6479A"/>
    <w:rsid w:val="00D64D09"/>
    <w:rsid w:val="00D6603B"/>
    <w:rsid w:val="00D71167"/>
    <w:rsid w:val="00D72AF8"/>
    <w:rsid w:val="00D73D44"/>
    <w:rsid w:val="00D75312"/>
    <w:rsid w:val="00D81196"/>
    <w:rsid w:val="00D813EF"/>
    <w:rsid w:val="00D83258"/>
    <w:rsid w:val="00D84B4C"/>
    <w:rsid w:val="00D86B70"/>
    <w:rsid w:val="00DA0873"/>
    <w:rsid w:val="00DA0F9B"/>
    <w:rsid w:val="00DA1E00"/>
    <w:rsid w:val="00DA2074"/>
    <w:rsid w:val="00DA29D9"/>
    <w:rsid w:val="00DA3022"/>
    <w:rsid w:val="00DA4023"/>
    <w:rsid w:val="00DA503E"/>
    <w:rsid w:val="00DB0E91"/>
    <w:rsid w:val="00DB3BEB"/>
    <w:rsid w:val="00DC33DC"/>
    <w:rsid w:val="00DC4604"/>
    <w:rsid w:val="00DC5C39"/>
    <w:rsid w:val="00DC6B20"/>
    <w:rsid w:val="00DD3B78"/>
    <w:rsid w:val="00DD66BD"/>
    <w:rsid w:val="00DD7AC5"/>
    <w:rsid w:val="00DE047F"/>
    <w:rsid w:val="00DE398C"/>
    <w:rsid w:val="00DE6323"/>
    <w:rsid w:val="00DF0419"/>
    <w:rsid w:val="00DF1E8D"/>
    <w:rsid w:val="00DF248D"/>
    <w:rsid w:val="00DF28B4"/>
    <w:rsid w:val="00E05139"/>
    <w:rsid w:val="00E0702F"/>
    <w:rsid w:val="00E07A1A"/>
    <w:rsid w:val="00E124EB"/>
    <w:rsid w:val="00E126DF"/>
    <w:rsid w:val="00E166D0"/>
    <w:rsid w:val="00E2011D"/>
    <w:rsid w:val="00E229DB"/>
    <w:rsid w:val="00E25CE6"/>
    <w:rsid w:val="00E341CD"/>
    <w:rsid w:val="00E52096"/>
    <w:rsid w:val="00E546D5"/>
    <w:rsid w:val="00E55AC2"/>
    <w:rsid w:val="00E57D98"/>
    <w:rsid w:val="00E6016A"/>
    <w:rsid w:val="00E60F77"/>
    <w:rsid w:val="00E654F8"/>
    <w:rsid w:val="00E70A54"/>
    <w:rsid w:val="00E82658"/>
    <w:rsid w:val="00E8518F"/>
    <w:rsid w:val="00E85CE8"/>
    <w:rsid w:val="00E918D0"/>
    <w:rsid w:val="00E93D0C"/>
    <w:rsid w:val="00E96E55"/>
    <w:rsid w:val="00E96FBA"/>
    <w:rsid w:val="00EA7229"/>
    <w:rsid w:val="00EB0262"/>
    <w:rsid w:val="00EB2C8E"/>
    <w:rsid w:val="00EB2DF1"/>
    <w:rsid w:val="00EB3BE6"/>
    <w:rsid w:val="00EB5140"/>
    <w:rsid w:val="00EC0B4D"/>
    <w:rsid w:val="00EC17BF"/>
    <w:rsid w:val="00EC65A9"/>
    <w:rsid w:val="00EC76B9"/>
    <w:rsid w:val="00ED04C7"/>
    <w:rsid w:val="00ED1B70"/>
    <w:rsid w:val="00ED49B7"/>
    <w:rsid w:val="00ED5891"/>
    <w:rsid w:val="00EE441D"/>
    <w:rsid w:val="00EF5332"/>
    <w:rsid w:val="00F0080C"/>
    <w:rsid w:val="00F0356E"/>
    <w:rsid w:val="00F13B26"/>
    <w:rsid w:val="00F1417F"/>
    <w:rsid w:val="00F1444E"/>
    <w:rsid w:val="00F15557"/>
    <w:rsid w:val="00F17B58"/>
    <w:rsid w:val="00F20C14"/>
    <w:rsid w:val="00F253B2"/>
    <w:rsid w:val="00F326E4"/>
    <w:rsid w:val="00F344BC"/>
    <w:rsid w:val="00F429C1"/>
    <w:rsid w:val="00F43173"/>
    <w:rsid w:val="00F45583"/>
    <w:rsid w:val="00F458B9"/>
    <w:rsid w:val="00F45E83"/>
    <w:rsid w:val="00F511A7"/>
    <w:rsid w:val="00F52A42"/>
    <w:rsid w:val="00F5404F"/>
    <w:rsid w:val="00F55E48"/>
    <w:rsid w:val="00F63B64"/>
    <w:rsid w:val="00F70818"/>
    <w:rsid w:val="00F72AD4"/>
    <w:rsid w:val="00F7300E"/>
    <w:rsid w:val="00F73354"/>
    <w:rsid w:val="00F8036A"/>
    <w:rsid w:val="00F834A0"/>
    <w:rsid w:val="00F83F64"/>
    <w:rsid w:val="00F90CEA"/>
    <w:rsid w:val="00F90FE7"/>
    <w:rsid w:val="00F930FB"/>
    <w:rsid w:val="00F97CF4"/>
    <w:rsid w:val="00FB1EFE"/>
    <w:rsid w:val="00FB5B6B"/>
    <w:rsid w:val="00FB778A"/>
    <w:rsid w:val="00FC0988"/>
    <w:rsid w:val="00FC2DC6"/>
    <w:rsid w:val="00FC4597"/>
    <w:rsid w:val="00FC5E82"/>
    <w:rsid w:val="00FC792B"/>
    <w:rsid w:val="00FD13B4"/>
    <w:rsid w:val="00FD49A4"/>
    <w:rsid w:val="00FE1B5E"/>
    <w:rsid w:val="00FE3093"/>
    <w:rsid w:val="00FE3894"/>
    <w:rsid w:val="00FE3B4C"/>
    <w:rsid w:val="00FE66FD"/>
    <w:rsid w:val="00FE67D4"/>
    <w:rsid w:val="00FF01E1"/>
    <w:rsid w:val="00FF18D9"/>
    <w:rsid w:val="00FF1914"/>
    <w:rsid w:val="00FF1BBE"/>
    <w:rsid w:val="00FF32F6"/>
    <w:rsid w:val="00FF4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5F"/>
    <w:pPr>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6615F"/>
    <w:rPr>
      <w:color w:val="0000FF"/>
      <w:u w:val="single"/>
    </w:rPr>
  </w:style>
  <w:style w:type="paragraph" w:styleId="Tekstdymka">
    <w:name w:val="Balloon Text"/>
    <w:basedOn w:val="Normalny"/>
    <w:link w:val="TekstdymkaZnak"/>
    <w:uiPriority w:val="99"/>
    <w:semiHidden/>
    <w:unhideWhenUsed/>
    <w:rsid w:val="0056615F"/>
    <w:rPr>
      <w:rFonts w:ascii="Tahoma" w:hAnsi="Tahoma" w:cs="Tahoma"/>
      <w:sz w:val="16"/>
      <w:szCs w:val="16"/>
    </w:rPr>
  </w:style>
  <w:style w:type="character" w:customStyle="1" w:styleId="TekstdymkaZnak">
    <w:name w:val="Tekst dymka Znak"/>
    <w:basedOn w:val="Domylnaczcionkaakapitu"/>
    <w:link w:val="Tekstdymka"/>
    <w:uiPriority w:val="99"/>
    <w:semiHidden/>
    <w:rsid w:val="0056615F"/>
    <w:rPr>
      <w:rFonts w:ascii="Tahoma" w:eastAsia="Times New Roman" w:hAnsi="Tahoma" w:cs="Tahoma"/>
      <w:spacing w:val="-25"/>
      <w:sz w:val="16"/>
      <w:szCs w:val="16"/>
    </w:rPr>
  </w:style>
  <w:style w:type="paragraph" w:styleId="Nagwek">
    <w:name w:val="header"/>
    <w:basedOn w:val="Normalny"/>
    <w:link w:val="NagwekZnak"/>
    <w:uiPriority w:val="99"/>
    <w:unhideWhenUsed/>
    <w:rsid w:val="0056615F"/>
    <w:pPr>
      <w:tabs>
        <w:tab w:val="center" w:pos="4536"/>
        <w:tab w:val="right" w:pos="9072"/>
      </w:tabs>
    </w:pPr>
  </w:style>
  <w:style w:type="character" w:customStyle="1" w:styleId="NagwekZnak">
    <w:name w:val="Nagłówek Znak"/>
    <w:basedOn w:val="Domylnaczcionkaakapitu"/>
    <w:link w:val="Nagwek"/>
    <w:uiPriority w:val="99"/>
    <w:rsid w:val="0056615F"/>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56615F"/>
    <w:pPr>
      <w:tabs>
        <w:tab w:val="center" w:pos="4536"/>
        <w:tab w:val="right" w:pos="9072"/>
      </w:tabs>
    </w:pPr>
  </w:style>
  <w:style w:type="character" w:customStyle="1" w:styleId="StopkaZnak">
    <w:name w:val="Stopka Znak"/>
    <w:basedOn w:val="Domylnaczcionkaakapitu"/>
    <w:link w:val="Stopka"/>
    <w:uiPriority w:val="99"/>
    <w:rsid w:val="0056615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45E83"/>
    <w:rPr>
      <w:sz w:val="16"/>
      <w:szCs w:val="16"/>
    </w:rPr>
  </w:style>
  <w:style w:type="paragraph" w:styleId="Tekstkomentarza">
    <w:name w:val="annotation text"/>
    <w:basedOn w:val="Normalny"/>
    <w:link w:val="TekstkomentarzaZnak"/>
    <w:uiPriority w:val="99"/>
    <w:semiHidden/>
    <w:unhideWhenUsed/>
    <w:rsid w:val="00F45E83"/>
    <w:rPr>
      <w:sz w:val="20"/>
    </w:rPr>
  </w:style>
  <w:style w:type="character" w:customStyle="1" w:styleId="TekstkomentarzaZnak">
    <w:name w:val="Tekst komentarza Znak"/>
    <w:basedOn w:val="Domylnaczcionkaakapitu"/>
    <w:link w:val="Tekstkomentarza"/>
    <w:uiPriority w:val="99"/>
    <w:semiHidden/>
    <w:rsid w:val="00F45E8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45E83"/>
    <w:rPr>
      <w:b/>
      <w:bCs/>
    </w:rPr>
  </w:style>
  <w:style w:type="character" w:customStyle="1" w:styleId="TematkomentarzaZnak">
    <w:name w:val="Temat komentarza Znak"/>
    <w:basedOn w:val="TekstkomentarzaZnak"/>
    <w:link w:val="Tematkomentarza"/>
    <w:uiPriority w:val="99"/>
    <w:semiHidden/>
    <w:rsid w:val="00F45E83"/>
    <w:rPr>
      <w:rFonts w:ascii="Times New Roman" w:eastAsia="Times New Roman" w:hAnsi="Times New Roman" w:cs="Times New Roman"/>
      <w:b/>
      <w:bCs/>
      <w:sz w:val="20"/>
      <w:szCs w:val="20"/>
    </w:rPr>
  </w:style>
  <w:style w:type="paragraph" w:styleId="Poprawka">
    <w:name w:val="Revision"/>
    <w:hidden/>
    <w:uiPriority w:val="99"/>
    <w:semiHidden/>
    <w:rsid w:val="002E5F3D"/>
    <w:pPr>
      <w:spacing w:after="0" w:line="240" w:lineRule="auto"/>
    </w:pPr>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0E5C4E"/>
    <w:rPr>
      <w:color w:val="800080" w:themeColor="followedHyperlink"/>
      <w:u w:val="single"/>
    </w:rPr>
  </w:style>
  <w:style w:type="paragraph" w:customStyle="1" w:styleId="Default">
    <w:name w:val="Default"/>
    <w:rsid w:val="00B97605"/>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semiHidden/>
    <w:unhideWhenUsed/>
    <w:rsid w:val="003A76E1"/>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3A76E1"/>
    <w:rPr>
      <w:rFonts w:ascii="Calibri" w:hAnsi="Calibri"/>
      <w:szCs w:val="21"/>
    </w:rPr>
  </w:style>
  <w:style w:type="character" w:styleId="Numerstrony">
    <w:name w:val="page number"/>
    <w:basedOn w:val="Domylnaczcionkaakapitu"/>
    <w:uiPriority w:val="99"/>
    <w:semiHidden/>
    <w:unhideWhenUsed/>
    <w:rsid w:val="00CC72B6"/>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15F"/>
    <w:pPr>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6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6615F"/>
    <w:rPr>
      <w:color w:val="0000FF"/>
      <w:u w:val="single"/>
    </w:rPr>
  </w:style>
  <w:style w:type="paragraph" w:styleId="Tekstdymka">
    <w:name w:val="Balloon Text"/>
    <w:basedOn w:val="Normalny"/>
    <w:link w:val="TekstdymkaZnak"/>
    <w:uiPriority w:val="99"/>
    <w:semiHidden/>
    <w:unhideWhenUsed/>
    <w:rsid w:val="0056615F"/>
    <w:rPr>
      <w:rFonts w:ascii="Tahoma" w:hAnsi="Tahoma" w:cs="Tahoma"/>
      <w:sz w:val="16"/>
      <w:szCs w:val="16"/>
    </w:rPr>
  </w:style>
  <w:style w:type="character" w:customStyle="1" w:styleId="TekstdymkaZnak">
    <w:name w:val="Tekst dymka Znak"/>
    <w:basedOn w:val="Domylnaczcionkaakapitu"/>
    <w:link w:val="Tekstdymka"/>
    <w:uiPriority w:val="99"/>
    <w:semiHidden/>
    <w:rsid w:val="0056615F"/>
    <w:rPr>
      <w:rFonts w:ascii="Tahoma" w:eastAsia="Times New Roman" w:hAnsi="Tahoma" w:cs="Tahoma"/>
      <w:spacing w:val="-25"/>
      <w:sz w:val="16"/>
      <w:szCs w:val="16"/>
    </w:rPr>
  </w:style>
  <w:style w:type="paragraph" w:styleId="Nagwek">
    <w:name w:val="header"/>
    <w:basedOn w:val="Normalny"/>
    <w:link w:val="NagwekZnak"/>
    <w:uiPriority w:val="99"/>
    <w:unhideWhenUsed/>
    <w:rsid w:val="0056615F"/>
    <w:pPr>
      <w:tabs>
        <w:tab w:val="center" w:pos="4536"/>
        <w:tab w:val="right" w:pos="9072"/>
      </w:tabs>
    </w:pPr>
  </w:style>
  <w:style w:type="character" w:customStyle="1" w:styleId="NagwekZnak">
    <w:name w:val="Nagłówek Znak"/>
    <w:basedOn w:val="Domylnaczcionkaakapitu"/>
    <w:link w:val="Nagwek"/>
    <w:uiPriority w:val="99"/>
    <w:rsid w:val="0056615F"/>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56615F"/>
    <w:pPr>
      <w:tabs>
        <w:tab w:val="center" w:pos="4536"/>
        <w:tab w:val="right" w:pos="9072"/>
      </w:tabs>
    </w:pPr>
  </w:style>
  <w:style w:type="character" w:customStyle="1" w:styleId="StopkaZnak">
    <w:name w:val="Stopka Znak"/>
    <w:basedOn w:val="Domylnaczcionkaakapitu"/>
    <w:link w:val="Stopka"/>
    <w:uiPriority w:val="99"/>
    <w:rsid w:val="0056615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45E83"/>
    <w:rPr>
      <w:sz w:val="16"/>
      <w:szCs w:val="16"/>
    </w:rPr>
  </w:style>
  <w:style w:type="paragraph" w:styleId="Tekstkomentarza">
    <w:name w:val="annotation text"/>
    <w:basedOn w:val="Normalny"/>
    <w:link w:val="TekstkomentarzaZnak"/>
    <w:uiPriority w:val="99"/>
    <w:semiHidden/>
    <w:unhideWhenUsed/>
    <w:rsid w:val="00F45E83"/>
    <w:rPr>
      <w:sz w:val="20"/>
    </w:rPr>
  </w:style>
  <w:style w:type="character" w:customStyle="1" w:styleId="TekstkomentarzaZnak">
    <w:name w:val="Tekst komentarza Znak"/>
    <w:basedOn w:val="Domylnaczcionkaakapitu"/>
    <w:link w:val="Tekstkomentarza"/>
    <w:uiPriority w:val="99"/>
    <w:semiHidden/>
    <w:rsid w:val="00F45E8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45E83"/>
    <w:rPr>
      <w:b/>
      <w:bCs/>
    </w:rPr>
  </w:style>
  <w:style w:type="character" w:customStyle="1" w:styleId="TematkomentarzaZnak">
    <w:name w:val="Temat komentarza Znak"/>
    <w:basedOn w:val="TekstkomentarzaZnak"/>
    <w:link w:val="Tematkomentarza"/>
    <w:uiPriority w:val="99"/>
    <w:semiHidden/>
    <w:rsid w:val="00F45E83"/>
    <w:rPr>
      <w:rFonts w:ascii="Times New Roman" w:eastAsia="Times New Roman" w:hAnsi="Times New Roman" w:cs="Times New Roman"/>
      <w:b/>
      <w:bCs/>
      <w:sz w:val="20"/>
      <w:szCs w:val="20"/>
    </w:rPr>
  </w:style>
  <w:style w:type="paragraph" w:styleId="Poprawka">
    <w:name w:val="Revision"/>
    <w:hidden/>
    <w:uiPriority w:val="99"/>
    <w:semiHidden/>
    <w:rsid w:val="002E5F3D"/>
    <w:pPr>
      <w:spacing w:after="0" w:line="240" w:lineRule="auto"/>
    </w:pPr>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0E5C4E"/>
    <w:rPr>
      <w:color w:val="800080" w:themeColor="followedHyperlink"/>
      <w:u w:val="single"/>
    </w:rPr>
  </w:style>
  <w:style w:type="paragraph" w:customStyle="1" w:styleId="Default">
    <w:name w:val="Default"/>
    <w:rsid w:val="00B97605"/>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semiHidden/>
    <w:unhideWhenUsed/>
    <w:rsid w:val="003A76E1"/>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3A76E1"/>
    <w:rPr>
      <w:rFonts w:ascii="Calibri" w:hAnsi="Calibri"/>
      <w:szCs w:val="21"/>
    </w:rPr>
  </w:style>
  <w:style w:type="character" w:styleId="Numerstrony">
    <w:name w:val="page number"/>
    <w:basedOn w:val="Domylnaczcionkaakapitu"/>
    <w:uiPriority w:val="99"/>
    <w:semiHidden/>
    <w:unhideWhenUsed/>
    <w:rsid w:val="00CC72B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989">
      <w:bodyDiv w:val="1"/>
      <w:marLeft w:val="0"/>
      <w:marRight w:val="0"/>
      <w:marTop w:val="0"/>
      <w:marBottom w:val="0"/>
      <w:divBdr>
        <w:top w:val="none" w:sz="0" w:space="0" w:color="auto"/>
        <w:left w:val="none" w:sz="0" w:space="0" w:color="auto"/>
        <w:bottom w:val="none" w:sz="0" w:space="0" w:color="auto"/>
        <w:right w:val="none" w:sz="0" w:space="0" w:color="auto"/>
      </w:divBdr>
    </w:div>
    <w:div w:id="455953597">
      <w:bodyDiv w:val="1"/>
      <w:marLeft w:val="0"/>
      <w:marRight w:val="0"/>
      <w:marTop w:val="0"/>
      <w:marBottom w:val="0"/>
      <w:divBdr>
        <w:top w:val="none" w:sz="0" w:space="0" w:color="auto"/>
        <w:left w:val="none" w:sz="0" w:space="0" w:color="auto"/>
        <w:bottom w:val="none" w:sz="0" w:space="0" w:color="auto"/>
        <w:right w:val="none" w:sz="0" w:space="0" w:color="auto"/>
      </w:divBdr>
    </w:div>
    <w:div w:id="1481076029">
      <w:bodyDiv w:val="1"/>
      <w:marLeft w:val="0"/>
      <w:marRight w:val="0"/>
      <w:marTop w:val="0"/>
      <w:marBottom w:val="0"/>
      <w:divBdr>
        <w:top w:val="none" w:sz="0" w:space="0" w:color="auto"/>
        <w:left w:val="none" w:sz="0" w:space="0" w:color="auto"/>
        <w:bottom w:val="none" w:sz="0" w:space="0" w:color="auto"/>
        <w:right w:val="none" w:sz="0" w:space="0" w:color="auto"/>
      </w:divBdr>
    </w:div>
    <w:div w:id="21110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etinholding.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etinhold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054E1-47E1-43B8-9C2A-A8F4797F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894</Words>
  <Characters>5364</Characters>
  <Application>Microsoft Office Word</Application>
  <DocSecurity>0</DocSecurity>
  <Lines>44</Lines>
  <Paragraphs>12</Paragraphs>
  <ScaleCrop>false</ScaleCrop>
  <Company>DZP</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Newecki Artur BPR Warszawa</cp:lastModifiedBy>
  <cp:revision>23</cp:revision>
  <cp:lastPrinted>2014-11-03T10:43:00Z</cp:lastPrinted>
  <dcterms:created xsi:type="dcterms:W3CDTF">2014-11-03T10:43:00Z</dcterms:created>
  <dcterms:modified xsi:type="dcterms:W3CDTF">2014-11-04T08:18:00Z</dcterms:modified>
</cp:coreProperties>
</file>